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-129" w:type="dxa"/>
        <w:tblLook w:val="04A0" w:firstRow="1" w:lastRow="0" w:firstColumn="1" w:lastColumn="0" w:noHBand="0" w:noVBand="1"/>
      </w:tblPr>
      <w:tblGrid>
        <w:gridCol w:w="4426"/>
        <w:gridCol w:w="4993"/>
      </w:tblGrid>
      <w:tr w:rsidR="00891ECD" w:rsidRPr="00891ECD" w:rsidTr="00B02B73">
        <w:trPr>
          <w:trHeight w:val="1135"/>
          <w:jc w:val="center"/>
        </w:trPr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ECD" w:rsidRPr="00891ECD" w:rsidRDefault="008F0AA3" w:rsidP="00B02B7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22D7BB" wp14:editId="39BAD8C2">
                      <wp:simplePos x="0" y="0"/>
                      <wp:positionH relativeFrom="column">
                        <wp:posOffset>741350</wp:posOffset>
                      </wp:positionH>
                      <wp:positionV relativeFrom="paragraph">
                        <wp:posOffset>417830</wp:posOffset>
                      </wp:positionV>
                      <wp:extent cx="1080000" cy="0"/>
                      <wp:effectExtent l="0" t="0" r="254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32.9pt" to="143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" strokecolor="black [3040]"/>
                  </w:pict>
                </mc:Fallback>
              </mc:AlternateContent>
            </w:r>
            <w:r w:rsidR="00B02B73">
              <w:rPr>
                <w:rFonts w:eastAsia="Times New Roman" w:cs="Times New Roman"/>
                <w:noProof/>
                <w:color w:val="000000"/>
                <w:szCs w:val="28"/>
              </w:rPr>
              <w:t>SỞ Y TẾ</w: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t xml:space="preserve"> QUẢNG BÌNH</w:t>
            </w:r>
            <w:r w:rsidR="00891ECD" w:rsidRPr="00891ECD">
              <w:rPr>
                <w:rFonts w:eastAsia="Times New Roman" w:cs="Times New Roman"/>
                <w:color w:val="000000"/>
                <w:szCs w:val="28"/>
              </w:rPr>
              <w:br/>
            </w:r>
            <w:r w:rsidR="00B02B73">
              <w:rPr>
                <w:rFonts w:eastAsia="Times New Roman" w:cs="Times New Roman"/>
                <w:b/>
                <w:bCs/>
                <w:color w:val="000000"/>
                <w:szCs w:val="28"/>
              </w:rPr>
              <w:t>ĐOÀN KIỂM TR</w:t>
            </w:r>
            <w:bookmarkStart w:id="0" w:name="_GoBack"/>
            <w:bookmarkEnd w:id="0"/>
            <w:r w:rsidR="00B02B73">
              <w:rPr>
                <w:rFonts w:eastAsia="Times New Roman" w:cs="Times New Roman"/>
                <w:b/>
                <w:bCs/>
                <w:color w:val="000000"/>
                <w:szCs w:val="28"/>
              </w:rPr>
              <w:t>A CCHC 2018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ECD" w:rsidRPr="00891ECD" w:rsidRDefault="000C7C30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1A4A51" wp14:editId="1BA1D5FA">
                      <wp:simplePos x="0" y="0"/>
                      <wp:positionH relativeFrom="column">
                        <wp:posOffset>2061794</wp:posOffset>
                      </wp:positionH>
                      <wp:positionV relativeFrom="paragraph">
                        <wp:posOffset>-361950</wp:posOffset>
                      </wp:positionV>
                      <wp:extent cx="1185062" cy="360000"/>
                      <wp:effectExtent l="0" t="0" r="0" b="25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062" cy="360000"/>
                              </a:xfrm>
                              <a:prstGeom prst="rect">
                                <a:avLst/>
                              </a:prstGeom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7C30" w:rsidRPr="00E64162" w:rsidRDefault="000C7C30" w:rsidP="000C7C30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641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PHỤ LỤC </w:t>
                                  </w:r>
                                  <w:r w:rsidR="002C1F2E" w:rsidRPr="00E6416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62.35pt;margin-top:-28.5pt;width:93.3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" fillcolor="white [3201]" stroked="f">
                      <v:textbox>
                        <w:txbxContent>
                          <w:p w:rsidR="000C7C30" w:rsidRPr="00E64162" w:rsidRDefault="000C7C30" w:rsidP="000C7C30">
                            <w:pPr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1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PHỤ LỤC </w:t>
                            </w:r>
                            <w:r w:rsidR="002C1F2E" w:rsidRPr="00E64162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91ECD" w:rsidRPr="00B06B17" w:rsidRDefault="00891ECD" w:rsidP="008F0AA3">
      <w:pPr>
        <w:spacing w:before="0" w:after="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6"/>
          <w:szCs w:val="28"/>
        </w:rPr>
      </w:pPr>
      <w:r w:rsidRPr="00891ECD">
        <w:rPr>
          <w:rFonts w:eastAsia="Times New Roman" w:cs="Times New Roman"/>
          <w:b/>
          <w:bCs/>
          <w:color w:val="000000"/>
          <w:sz w:val="26"/>
          <w:szCs w:val="28"/>
        </w:rPr>
        <w:t>BẢNG ĐIỂM KIỂM TRA CÔNG TÁC CẢI CÁCH HÀNH CHÍNH</w:t>
      </w:r>
      <w:r w:rsidR="005C3ECA">
        <w:rPr>
          <w:rFonts w:eastAsia="Times New Roman" w:cs="Times New Roman"/>
          <w:b/>
          <w:bCs/>
          <w:color w:val="000000"/>
          <w:sz w:val="26"/>
          <w:szCs w:val="28"/>
        </w:rPr>
        <w:t xml:space="preserve"> NĂM 2018</w:t>
      </w:r>
    </w:p>
    <w:p w:rsidR="00891ECD" w:rsidRDefault="00394063" w:rsidP="005C3ECA">
      <w:pPr>
        <w:spacing w:before="240" w:after="240" w:line="240" w:lineRule="auto"/>
        <w:ind w:firstLine="0"/>
        <w:jc w:val="center"/>
      </w:pP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: </w:t>
      </w:r>
      <w:r w:rsidRPr="00394063">
        <w:t>…………………………………………………………</w:t>
      </w:r>
    </w:p>
    <w:tbl>
      <w:tblPr>
        <w:tblW w:w="9867" w:type="dxa"/>
        <w:jc w:val="center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53"/>
        <w:gridCol w:w="6690"/>
        <w:gridCol w:w="841"/>
        <w:gridCol w:w="841"/>
        <w:gridCol w:w="842"/>
      </w:tblGrid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tự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chấm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Điểm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đạt</w:t>
            </w:r>
            <w:proofErr w:type="spellEnd"/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CÔNG TÁC CHỈ ĐẠO ĐIỀU HÀNH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CCHC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Ban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luật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xậy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phổ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biến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KIỂM SOÁT THỦ TỤC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3501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3501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khai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TTHC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8F11A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đinh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1A4" w:rsidRPr="00891ECD" w:rsidRDefault="008F11A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niêm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yết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3501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3501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kiến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nghị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tổ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nếu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  <w:r w:rsidR="005C3ECA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5C3ECA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35017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</w:t>
            </w:r>
            <w:r w:rsidR="00835017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FE5DC2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áo</w:t>
            </w:r>
            <w:proofErr w:type="spellEnd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57C"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CB36D0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="00FE5DC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đầy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mẫu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quá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gian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CB36D0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835017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TỔ CHỨC BỘ MÁY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khoa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đủ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lực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số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lượng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đảm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bố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việc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làm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phận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danh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đồng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tiền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lương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điều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luân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chuyển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theo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chỉ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đạo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cấp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trên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XÂY DỰNG VÀ NÂNG CAO CHẤT LƯỢNG ĐỘI NGŨ CÁN BỘ, CÔNG CHỨC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kế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đào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bồi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dưỡng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nghiệp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chính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phân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9E557C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CẢI CÁCH TÀI CHÍNH CÔNG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57C" w:rsidRPr="00891ECD" w:rsidRDefault="009E557C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Xây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dựng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chuẩn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mức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phù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hợp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với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định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hiện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Quy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chế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tiêu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bàn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bạc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thảo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chủ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huy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nguồn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lực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xã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hóa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DE5F2E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DE5F2E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Tăng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thu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tiết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kiệm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chi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tại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cơ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quan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đơn</w:t>
            </w:r>
            <w:proofErr w:type="spellEnd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DE5F2E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E5F2E">
              <w:rPr>
                <w:rFonts w:eastAsia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DE5F2E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DE5F2E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kinh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phí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chi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thu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nhập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tăng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thêm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cán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bộ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viên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chức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và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người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lao</w:t>
            </w:r>
            <w:proofErr w:type="spellEnd"/>
            <w:r w:rsidRPr="00891EC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0140DB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HIỆN ĐẠI HÓA NỀN HÀNH CHÍNH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Thường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xuyên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</w:t>
            </w: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DB0CCD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cập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nhật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tế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hệ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thống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cấp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triển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mềm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nghệ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tin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KCB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YTDP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ind w:firstLine="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Default="00FD3B74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ind w:firstLine="0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jc w:val="center"/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ind w:firstLine="0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Default="00FD3B74" w:rsidP="00012329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Hạ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CNTT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ind w:firstLine="0"/>
              <w:jc w:val="center"/>
            </w:pPr>
            <w: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Pr="00995A60" w:rsidRDefault="00FD3B74" w:rsidP="00B22392">
            <w:pPr>
              <w:jc w:val="center"/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B74" w:rsidRDefault="00FD3B74" w:rsidP="00B22392">
            <w:pPr>
              <w:jc w:val="center"/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Trụ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sở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cơ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quan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Chưa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đáp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ứng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nhu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cầu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đơn</w:t>
            </w:r>
            <w:proofErr w:type="spellEnd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FD3B74" w:rsidRPr="00891ECD" w:rsidTr="00690D44">
        <w:trPr>
          <w:cantSplit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ĐIỂM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74" w:rsidRPr="00891ECD" w:rsidRDefault="00FD3B74" w:rsidP="008F0AA3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1ECD" w:rsidRPr="00891ECD" w:rsidRDefault="00891ECD" w:rsidP="00FE5DC2">
      <w:pPr>
        <w:spacing w:before="240" w:after="120"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proofErr w:type="spellStart"/>
      <w:r w:rsidRPr="00891ECD">
        <w:rPr>
          <w:rFonts w:eastAsia="Times New Roman" w:cs="Times New Roman"/>
          <w:color w:val="000000"/>
          <w:szCs w:val="28"/>
        </w:rPr>
        <w:t>Tổng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91ECD">
        <w:rPr>
          <w:rFonts w:eastAsia="Times New Roman" w:cs="Times New Roman"/>
          <w:color w:val="000000"/>
          <w:szCs w:val="28"/>
        </w:rPr>
        <w:t>điểm</w:t>
      </w:r>
      <w:proofErr w:type="spellEnd"/>
      <w:r w:rsidRPr="00891EC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891ECD">
        <w:rPr>
          <w:rFonts w:eastAsia="Times New Roman" w:cs="Times New Roman"/>
          <w:color w:val="000000"/>
          <w:szCs w:val="28"/>
        </w:rPr>
        <w:t>chung</w:t>
      </w:r>
      <w:proofErr w:type="spellEnd"/>
      <w:proofErr w:type="gramEnd"/>
      <w:r w:rsidRPr="00891ECD">
        <w:rPr>
          <w:rFonts w:eastAsia="Times New Roman" w:cs="Times New Roman"/>
          <w:color w:val="000000"/>
          <w:szCs w:val="28"/>
        </w:rPr>
        <w:t>:</w:t>
      </w:r>
      <w:r w:rsidR="00937207">
        <w:rPr>
          <w:rFonts w:eastAsia="Times New Roman" w:cs="Times New Roman"/>
          <w:color w:val="000000"/>
          <w:szCs w:val="28"/>
        </w:rPr>
        <w:t xml:space="preserve"> </w:t>
      </w:r>
      <w:r w:rsidRPr="00891ECD">
        <w:rPr>
          <w:rFonts w:eastAsia="Times New Roman" w:cs="Times New Roman"/>
          <w:color w:val="000000"/>
          <w:szCs w:val="28"/>
        </w:rPr>
        <w:t>......................................................</w:t>
      </w:r>
    </w:p>
    <w:tbl>
      <w:tblPr>
        <w:tblW w:w="955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779"/>
        <w:gridCol w:w="4780"/>
      </w:tblGrid>
      <w:tr w:rsidR="00891ECD" w:rsidRPr="00891ECD" w:rsidTr="00C87099">
        <w:trPr>
          <w:trHeight w:val="375"/>
          <w:jc w:val="center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63" w:rsidRDefault="00394063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 ĐƯỢC KIỂM TRA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063" w:rsidRDefault="00394063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Ngày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tháng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……</w:t>
            </w:r>
            <w:proofErr w:type="spellStart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>năm</w:t>
            </w:r>
            <w:proofErr w:type="spellEnd"/>
            <w:r w:rsidRPr="00891ECD">
              <w:rPr>
                <w:rFonts w:eastAsia="Times New Roman" w:cs="Times New Roman"/>
                <w:i/>
                <w:iCs/>
                <w:color w:val="000000"/>
                <w:szCs w:val="28"/>
              </w:rPr>
              <w:t xml:space="preserve"> 201</w:t>
            </w:r>
            <w:r>
              <w:rPr>
                <w:rFonts w:eastAsia="Times New Roman" w:cs="Times New Roman"/>
                <w:i/>
                <w:iCs/>
                <w:color w:val="000000"/>
                <w:szCs w:val="28"/>
              </w:rPr>
              <w:t>8</w:t>
            </w:r>
          </w:p>
          <w:p w:rsidR="00891ECD" w:rsidRPr="00891ECD" w:rsidRDefault="00891ECD" w:rsidP="00891ECD">
            <w:pPr>
              <w:spacing w:before="0"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T/M.</w:t>
            </w:r>
            <w:r w:rsidR="000C062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91EC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ĐOÀN KIỂM TRA</w:t>
            </w:r>
          </w:p>
        </w:tc>
      </w:tr>
    </w:tbl>
    <w:p w:rsidR="00FC1C44" w:rsidRDefault="00FC1C44" w:rsidP="00891ECD">
      <w:pPr>
        <w:ind w:firstLine="0"/>
      </w:pPr>
    </w:p>
    <w:sectPr w:rsidR="00FC1C44" w:rsidSect="00661397">
      <w:pgSz w:w="11909" w:h="16834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CD"/>
    <w:rsid w:val="00086CF9"/>
    <w:rsid w:val="000C0620"/>
    <w:rsid w:val="000C7C30"/>
    <w:rsid w:val="0013038C"/>
    <w:rsid w:val="00164736"/>
    <w:rsid w:val="001A7DD9"/>
    <w:rsid w:val="001E0AA4"/>
    <w:rsid w:val="0020280E"/>
    <w:rsid w:val="00296667"/>
    <w:rsid w:val="002C1F2E"/>
    <w:rsid w:val="002E1EBC"/>
    <w:rsid w:val="002E2DF4"/>
    <w:rsid w:val="002E3C37"/>
    <w:rsid w:val="003225E6"/>
    <w:rsid w:val="00375BD3"/>
    <w:rsid w:val="00380A25"/>
    <w:rsid w:val="00394063"/>
    <w:rsid w:val="003A6952"/>
    <w:rsid w:val="003D338E"/>
    <w:rsid w:val="00457E4F"/>
    <w:rsid w:val="004746E8"/>
    <w:rsid w:val="00487A90"/>
    <w:rsid w:val="004F6E25"/>
    <w:rsid w:val="0052417A"/>
    <w:rsid w:val="00554498"/>
    <w:rsid w:val="005A4C2F"/>
    <w:rsid w:val="005B3A50"/>
    <w:rsid w:val="005C3ECA"/>
    <w:rsid w:val="005C6B01"/>
    <w:rsid w:val="00661397"/>
    <w:rsid w:val="00677735"/>
    <w:rsid w:val="00690D44"/>
    <w:rsid w:val="006B3E7E"/>
    <w:rsid w:val="006E00A3"/>
    <w:rsid w:val="006E2E44"/>
    <w:rsid w:val="00704221"/>
    <w:rsid w:val="00761544"/>
    <w:rsid w:val="007A7FE3"/>
    <w:rsid w:val="00800099"/>
    <w:rsid w:val="00835017"/>
    <w:rsid w:val="00837C10"/>
    <w:rsid w:val="00860AD0"/>
    <w:rsid w:val="00863C7D"/>
    <w:rsid w:val="00885402"/>
    <w:rsid w:val="00891ECD"/>
    <w:rsid w:val="008A2778"/>
    <w:rsid w:val="008A5169"/>
    <w:rsid w:val="008E2FFC"/>
    <w:rsid w:val="008F0AA3"/>
    <w:rsid w:val="008F11A4"/>
    <w:rsid w:val="00927328"/>
    <w:rsid w:val="00937207"/>
    <w:rsid w:val="00993AD8"/>
    <w:rsid w:val="009A4CAB"/>
    <w:rsid w:val="009E2A99"/>
    <w:rsid w:val="009E496E"/>
    <w:rsid w:val="009E557C"/>
    <w:rsid w:val="009E7DCD"/>
    <w:rsid w:val="00A32947"/>
    <w:rsid w:val="00AC297C"/>
    <w:rsid w:val="00B02B73"/>
    <w:rsid w:val="00B06B17"/>
    <w:rsid w:val="00B21BED"/>
    <w:rsid w:val="00B22392"/>
    <w:rsid w:val="00B308F4"/>
    <w:rsid w:val="00BE1215"/>
    <w:rsid w:val="00C02B94"/>
    <w:rsid w:val="00C87099"/>
    <w:rsid w:val="00CB36D0"/>
    <w:rsid w:val="00CB7429"/>
    <w:rsid w:val="00D13F22"/>
    <w:rsid w:val="00D464D2"/>
    <w:rsid w:val="00DA68F8"/>
    <w:rsid w:val="00DB0CCD"/>
    <w:rsid w:val="00DB7766"/>
    <w:rsid w:val="00E000F6"/>
    <w:rsid w:val="00E0711F"/>
    <w:rsid w:val="00E43577"/>
    <w:rsid w:val="00E64162"/>
    <w:rsid w:val="00E958A4"/>
    <w:rsid w:val="00F15211"/>
    <w:rsid w:val="00FA79A4"/>
    <w:rsid w:val="00FB7AEE"/>
    <w:rsid w:val="00FC1C44"/>
    <w:rsid w:val="00FD3B74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64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E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FIRECAT</dc:creator>
  <cp:lastModifiedBy>FIRECAT</cp:lastModifiedBy>
  <cp:revision>37</cp:revision>
  <cp:lastPrinted>2018-11-16T01:53:00Z</cp:lastPrinted>
  <dcterms:created xsi:type="dcterms:W3CDTF">2018-11-08T02:51:00Z</dcterms:created>
  <dcterms:modified xsi:type="dcterms:W3CDTF">2018-11-16T01:54:00Z</dcterms:modified>
</cp:coreProperties>
</file>