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0" w:type="dxa"/>
        <w:tblInd w:w="18" w:type="dxa"/>
        <w:tblLook w:val="01E0" w:firstRow="1" w:lastRow="1" w:firstColumn="1" w:lastColumn="1" w:noHBand="0" w:noVBand="0"/>
      </w:tblPr>
      <w:tblGrid>
        <w:gridCol w:w="3420"/>
        <w:gridCol w:w="5670"/>
      </w:tblGrid>
      <w:tr w:rsidR="001E3C44" w:rsidRPr="005301AC" w:rsidTr="00695391">
        <w:trPr>
          <w:trHeight w:val="1985"/>
        </w:trPr>
        <w:tc>
          <w:tcPr>
            <w:tcW w:w="3420" w:type="dxa"/>
          </w:tcPr>
          <w:p w:rsidR="001E3C44" w:rsidRPr="005301AC" w:rsidRDefault="001E3C44" w:rsidP="001E3C44">
            <w:pPr>
              <w:spacing w:after="0"/>
              <w:jc w:val="center"/>
              <w:rPr>
                <w:rFonts w:ascii="Times New Roman" w:hAnsi="Times New Roman" w:cs="Times New Roman"/>
                <w:b/>
                <w:color w:val="000000" w:themeColor="text1"/>
                <w:sz w:val="26"/>
                <w:szCs w:val="26"/>
              </w:rPr>
            </w:pPr>
            <w:r w:rsidRPr="005301AC">
              <w:rPr>
                <w:rFonts w:ascii="Times New Roman" w:hAnsi="Times New Roman" w:cs="Times New Roman"/>
                <w:color w:val="000000" w:themeColor="text1"/>
                <w:sz w:val="26"/>
                <w:szCs w:val="26"/>
              </w:rPr>
              <w:t>UBND TỈNH QUẢNG BÌNH</w:t>
            </w:r>
          </w:p>
          <w:p w:rsidR="001E3C44" w:rsidRPr="005301AC" w:rsidRDefault="00972BBD" w:rsidP="001E3C44">
            <w:pPr>
              <w:spacing w:after="0"/>
              <w:jc w:val="center"/>
              <w:rPr>
                <w:rFonts w:ascii="Times New Roman" w:hAnsi="Times New Roman" w:cs="Times New Roman"/>
                <w:b/>
                <w:color w:val="000000" w:themeColor="text1"/>
                <w:szCs w:val="28"/>
              </w:rPr>
            </w:pPr>
            <w:r>
              <w:rPr>
                <w:rFonts w:ascii="Times New Roman" w:hAnsi="Times New Roman" w:cs="Times New Roman"/>
                <w:noProof/>
                <w:color w:val="000000" w:themeColor="text1"/>
                <w:szCs w:val="24"/>
              </w:rPr>
              <w:pict>
                <v:line id="Straight Connector 2" o:spid="_x0000_s1026" style="position:absolute;left:0;text-align:left;flip:y;z-index:251660288;visibility:visible" from="61.35pt,15.85pt" to="95.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"/>
              </w:pict>
            </w:r>
            <w:r w:rsidR="001E3C44" w:rsidRPr="005301AC">
              <w:rPr>
                <w:rFonts w:ascii="Times New Roman" w:hAnsi="Times New Roman" w:cs="Times New Roman"/>
                <w:b/>
                <w:color w:val="000000" w:themeColor="text1"/>
                <w:sz w:val="28"/>
                <w:szCs w:val="28"/>
              </w:rPr>
              <w:t>SỞ Y TẾ</w:t>
            </w:r>
          </w:p>
          <w:p w:rsidR="001E3C44" w:rsidRPr="005301AC" w:rsidRDefault="001E3C44" w:rsidP="001E3C44">
            <w:pPr>
              <w:spacing w:after="0"/>
              <w:jc w:val="center"/>
              <w:rPr>
                <w:rFonts w:ascii="Times New Roman" w:hAnsi="Times New Roman" w:cs="Times New Roman"/>
                <w:color w:val="000000" w:themeColor="text1"/>
                <w:sz w:val="10"/>
                <w:szCs w:val="28"/>
              </w:rPr>
            </w:pPr>
          </w:p>
          <w:p w:rsidR="001E3C44" w:rsidRPr="005301AC" w:rsidRDefault="001E3C44" w:rsidP="001E3C44">
            <w:pPr>
              <w:spacing w:after="0"/>
              <w:jc w:val="center"/>
              <w:rPr>
                <w:rFonts w:ascii="Times New Roman" w:hAnsi="Times New Roman" w:cs="Times New Roman"/>
                <w:color w:val="000000" w:themeColor="text1"/>
                <w:szCs w:val="28"/>
              </w:rPr>
            </w:pPr>
            <w:r w:rsidRPr="005301AC">
              <w:rPr>
                <w:rFonts w:ascii="Times New Roman" w:hAnsi="Times New Roman" w:cs="Times New Roman"/>
                <w:color w:val="000000" w:themeColor="text1"/>
                <w:sz w:val="28"/>
                <w:szCs w:val="28"/>
              </w:rPr>
              <w:t>Số:          /SYT</w:t>
            </w:r>
          </w:p>
          <w:p w:rsidR="001E3C44" w:rsidRPr="005301AC" w:rsidRDefault="001E3C44" w:rsidP="001E3C44">
            <w:pPr>
              <w:spacing w:after="0"/>
              <w:jc w:val="center"/>
              <w:rPr>
                <w:rFonts w:ascii="Times New Roman" w:hAnsi="Times New Roman" w:cs="Times New Roman"/>
                <w:color w:val="000000" w:themeColor="text1"/>
                <w:sz w:val="24"/>
                <w:szCs w:val="24"/>
              </w:rPr>
            </w:pPr>
            <w:r w:rsidRPr="005301AC">
              <w:rPr>
                <w:rFonts w:ascii="Times New Roman" w:hAnsi="Times New Roman" w:cs="Times New Roman"/>
                <w:color w:val="000000" w:themeColor="text1"/>
                <w:sz w:val="24"/>
                <w:szCs w:val="24"/>
              </w:rPr>
              <w:t>V/v xây dựng quy trình tin học hóa giải quyết TTHC</w:t>
            </w:r>
          </w:p>
        </w:tc>
        <w:tc>
          <w:tcPr>
            <w:tcW w:w="5670" w:type="dxa"/>
          </w:tcPr>
          <w:p w:rsidR="001E3C44" w:rsidRPr="005301AC" w:rsidRDefault="001E3C44" w:rsidP="001E3C44">
            <w:pPr>
              <w:spacing w:after="0"/>
              <w:rPr>
                <w:rFonts w:ascii="Times New Roman" w:hAnsi="Times New Roman" w:cs="Times New Roman"/>
                <w:b/>
                <w:color w:val="000000" w:themeColor="text1"/>
                <w:sz w:val="26"/>
                <w:szCs w:val="26"/>
              </w:rPr>
            </w:pPr>
            <w:r w:rsidRPr="005301AC">
              <w:rPr>
                <w:rFonts w:ascii="Times New Roman" w:hAnsi="Times New Roman" w:cs="Times New Roman"/>
                <w:b/>
                <w:color w:val="000000" w:themeColor="text1"/>
                <w:sz w:val="26"/>
                <w:szCs w:val="26"/>
              </w:rPr>
              <w:t>CỘNG HÒA XÃ HỘI CHỦ NGHĨA VIỆT NAM</w:t>
            </w:r>
          </w:p>
          <w:p w:rsidR="001E3C44" w:rsidRPr="005301AC" w:rsidRDefault="00972BBD" w:rsidP="001E3C44">
            <w:pPr>
              <w:spacing w:after="0"/>
              <w:jc w:val="center"/>
              <w:rPr>
                <w:rFonts w:ascii="Times New Roman" w:hAnsi="Times New Roman" w:cs="Times New Roman"/>
                <w:b/>
                <w:color w:val="000000" w:themeColor="text1"/>
                <w:szCs w:val="28"/>
              </w:rPr>
            </w:pPr>
            <w:r>
              <w:rPr>
                <w:rFonts w:ascii="Times New Roman" w:hAnsi="Times New Roman" w:cs="Times New Roman"/>
                <w:b/>
                <w:noProof/>
                <w:color w:val="000000" w:themeColor="text1"/>
                <w:sz w:val="28"/>
                <w:szCs w:val="28"/>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56.5pt;margin-top:15.85pt;width:157.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z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"/>
              </w:pict>
            </w:r>
            <w:r w:rsidR="001E3C44" w:rsidRPr="005301AC">
              <w:rPr>
                <w:rFonts w:ascii="Times New Roman" w:hAnsi="Times New Roman" w:cs="Times New Roman"/>
                <w:b/>
                <w:color w:val="000000" w:themeColor="text1"/>
                <w:sz w:val="28"/>
                <w:szCs w:val="28"/>
              </w:rPr>
              <w:t>Độc lập- Tự do- Hạnh phúc</w:t>
            </w:r>
          </w:p>
          <w:p w:rsidR="001E3C44" w:rsidRPr="005301AC" w:rsidRDefault="001E3C44" w:rsidP="001E3C44">
            <w:pPr>
              <w:spacing w:before="120" w:after="0"/>
              <w:jc w:val="center"/>
              <w:rPr>
                <w:rFonts w:ascii="Times New Roman" w:hAnsi="Times New Roman" w:cs="Times New Roman"/>
                <w:i/>
                <w:color w:val="000000" w:themeColor="text1"/>
                <w:szCs w:val="28"/>
              </w:rPr>
            </w:pPr>
            <w:r w:rsidRPr="005301AC">
              <w:rPr>
                <w:rFonts w:ascii="Times New Roman" w:hAnsi="Times New Roman" w:cs="Times New Roman"/>
                <w:i/>
                <w:color w:val="000000" w:themeColor="text1"/>
                <w:sz w:val="28"/>
                <w:szCs w:val="28"/>
              </w:rPr>
              <w:t xml:space="preserve">Quảng Bình, ngày      tháng </w:t>
            </w:r>
            <w:r w:rsidR="007B4577" w:rsidRPr="005301AC">
              <w:rPr>
                <w:rFonts w:ascii="Times New Roman" w:hAnsi="Times New Roman" w:cs="Times New Roman"/>
                <w:i/>
                <w:color w:val="000000" w:themeColor="text1"/>
                <w:sz w:val="28"/>
                <w:szCs w:val="28"/>
              </w:rPr>
              <w:t xml:space="preserve">      </w:t>
            </w:r>
            <w:r w:rsidRPr="005301AC">
              <w:rPr>
                <w:rFonts w:ascii="Times New Roman" w:hAnsi="Times New Roman" w:cs="Times New Roman"/>
                <w:i/>
                <w:color w:val="000000" w:themeColor="text1"/>
                <w:sz w:val="28"/>
                <w:szCs w:val="28"/>
              </w:rPr>
              <w:t>năm 2018</w:t>
            </w:r>
          </w:p>
          <w:p w:rsidR="001E3C44" w:rsidRPr="005301AC" w:rsidRDefault="001E3C44" w:rsidP="001E3C44">
            <w:pPr>
              <w:spacing w:after="0"/>
              <w:rPr>
                <w:rFonts w:ascii="Times New Roman" w:hAnsi="Times New Roman" w:cs="Times New Roman"/>
                <w:color w:val="000000" w:themeColor="text1"/>
              </w:rPr>
            </w:pPr>
          </w:p>
        </w:tc>
      </w:tr>
    </w:tbl>
    <w:p w:rsidR="001E3C44" w:rsidRPr="005301AC" w:rsidRDefault="001E3C44" w:rsidP="001E3C44">
      <w:pPr>
        <w:spacing w:after="0"/>
        <w:ind w:left="2160"/>
        <w:rPr>
          <w:rFonts w:ascii="Times New Roman" w:hAnsi="Times New Roman" w:cs="Times New Roman"/>
          <w:color w:val="000000" w:themeColor="text1"/>
          <w:sz w:val="28"/>
          <w:szCs w:val="28"/>
        </w:rPr>
      </w:pPr>
      <w:r w:rsidRPr="005301AC">
        <w:rPr>
          <w:rFonts w:ascii="Times New Roman" w:hAnsi="Times New Roman" w:cs="Times New Roman"/>
          <w:color w:val="000000" w:themeColor="text1"/>
          <w:sz w:val="28"/>
          <w:szCs w:val="28"/>
        </w:rPr>
        <w:t xml:space="preserve">Kính gửi: </w:t>
      </w:r>
    </w:p>
    <w:p w:rsidR="001E3C44" w:rsidRPr="005301AC" w:rsidRDefault="001E3C44" w:rsidP="001E3C44">
      <w:pPr>
        <w:spacing w:after="0"/>
        <w:rPr>
          <w:rFonts w:ascii="Times New Roman" w:hAnsi="Times New Roman" w:cs="Times New Roman"/>
          <w:color w:val="000000" w:themeColor="text1"/>
          <w:sz w:val="28"/>
          <w:szCs w:val="28"/>
        </w:rPr>
      </w:pP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t>- Chi cục An toàn vệ sinh thực phẩm;</w:t>
      </w:r>
    </w:p>
    <w:p w:rsidR="001E3C44" w:rsidRPr="005301AC" w:rsidRDefault="001E3C44" w:rsidP="001E3C44">
      <w:pPr>
        <w:spacing w:after="0"/>
        <w:rPr>
          <w:rFonts w:ascii="Times New Roman" w:hAnsi="Times New Roman" w:cs="Times New Roman"/>
          <w:color w:val="000000" w:themeColor="text1"/>
          <w:sz w:val="28"/>
          <w:szCs w:val="28"/>
        </w:rPr>
      </w:pP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t xml:space="preserve">- Trung tâm </w:t>
      </w:r>
      <w:r w:rsidR="00173024" w:rsidRPr="005301AC">
        <w:rPr>
          <w:rFonts w:ascii="Times New Roman" w:hAnsi="Times New Roman" w:cs="Times New Roman"/>
          <w:color w:val="000000" w:themeColor="text1"/>
          <w:sz w:val="28"/>
          <w:szCs w:val="28"/>
        </w:rPr>
        <w:t>Y tế dự phòng tỉnh;</w:t>
      </w:r>
    </w:p>
    <w:p w:rsidR="00173024" w:rsidRPr="005301AC" w:rsidRDefault="00173024" w:rsidP="001E3C44">
      <w:pPr>
        <w:spacing w:after="0"/>
        <w:rPr>
          <w:rFonts w:ascii="Times New Roman" w:hAnsi="Times New Roman" w:cs="Times New Roman"/>
          <w:color w:val="000000" w:themeColor="text1"/>
          <w:sz w:val="28"/>
          <w:szCs w:val="28"/>
        </w:rPr>
      </w:pP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t>- Trung tâm Giám định Y khoa- pháp y;</w:t>
      </w:r>
    </w:p>
    <w:p w:rsidR="00173024" w:rsidRPr="005301AC" w:rsidRDefault="00173024" w:rsidP="001E3C44">
      <w:pPr>
        <w:spacing w:after="0"/>
        <w:rPr>
          <w:rFonts w:ascii="Times New Roman" w:hAnsi="Times New Roman" w:cs="Times New Roman"/>
          <w:color w:val="000000" w:themeColor="text1"/>
          <w:sz w:val="28"/>
          <w:szCs w:val="28"/>
        </w:rPr>
      </w:pP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t>- Trung tâm phòng chống HIV/AIDS;</w:t>
      </w:r>
    </w:p>
    <w:p w:rsidR="001E3C44" w:rsidRPr="005301AC" w:rsidRDefault="001E3C44" w:rsidP="001E3C44">
      <w:pPr>
        <w:spacing w:after="0"/>
        <w:rPr>
          <w:rFonts w:ascii="Times New Roman" w:hAnsi="Times New Roman" w:cs="Times New Roman"/>
          <w:color w:val="000000" w:themeColor="text1"/>
          <w:sz w:val="28"/>
          <w:szCs w:val="28"/>
        </w:rPr>
      </w:pP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r>
      <w:r w:rsidRPr="005301AC">
        <w:rPr>
          <w:rFonts w:ascii="Times New Roman" w:hAnsi="Times New Roman" w:cs="Times New Roman"/>
          <w:color w:val="000000" w:themeColor="text1"/>
          <w:sz w:val="28"/>
          <w:szCs w:val="28"/>
        </w:rPr>
        <w:tab/>
        <w:t xml:space="preserve">- Các phòng </w:t>
      </w:r>
      <w:r w:rsidR="00173024" w:rsidRPr="005301AC">
        <w:rPr>
          <w:rFonts w:ascii="Times New Roman" w:hAnsi="Times New Roman" w:cs="Times New Roman"/>
          <w:color w:val="000000" w:themeColor="text1"/>
          <w:sz w:val="28"/>
          <w:szCs w:val="28"/>
        </w:rPr>
        <w:t>NVY, NVD, KH-TC.</w:t>
      </w:r>
    </w:p>
    <w:p w:rsidR="001E3C44" w:rsidRPr="005301AC" w:rsidRDefault="001E3C44" w:rsidP="001E3C44">
      <w:pPr>
        <w:spacing w:after="0"/>
        <w:rPr>
          <w:rFonts w:ascii="Times New Roman" w:hAnsi="Times New Roman" w:cs="Times New Roman"/>
          <w:color w:val="000000" w:themeColor="text1"/>
          <w:sz w:val="28"/>
          <w:szCs w:val="28"/>
        </w:rPr>
      </w:pPr>
    </w:p>
    <w:p w:rsidR="00173024" w:rsidRPr="005301AC" w:rsidRDefault="00173024" w:rsidP="007B4577">
      <w:pPr>
        <w:spacing w:after="0"/>
        <w:ind w:firstLine="720"/>
        <w:jc w:val="both"/>
        <w:rPr>
          <w:rFonts w:ascii="Times New Roman" w:hAnsi="Times New Roman" w:cs="Times New Roman"/>
          <w:color w:val="000000" w:themeColor="text1"/>
          <w:sz w:val="28"/>
          <w:szCs w:val="28"/>
        </w:rPr>
      </w:pPr>
      <w:r w:rsidRPr="005301AC">
        <w:rPr>
          <w:rFonts w:ascii="Times New Roman" w:hAnsi="Times New Roman" w:cs="Times New Roman"/>
          <w:color w:val="000000" w:themeColor="text1"/>
          <w:sz w:val="28"/>
          <w:szCs w:val="28"/>
        </w:rPr>
        <w:t xml:space="preserve">Thực hiện Công văn số 1388/UBND-KSTT ngày 20/8/2018 của UBND tỉnh về việc xây dựng quy trình tin học hóa giải quyết </w:t>
      </w:r>
      <w:r w:rsidR="007B4577" w:rsidRPr="005301AC">
        <w:rPr>
          <w:rFonts w:ascii="Times New Roman" w:hAnsi="Times New Roman" w:cs="Times New Roman"/>
          <w:color w:val="000000" w:themeColor="text1"/>
          <w:sz w:val="28"/>
          <w:szCs w:val="28"/>
        </w:rPr>
        <w:t>thủ tục hành chính (</w:t>
      </w:r>
      <w:r w:rsidRPr="005301AC">
        <w:rPr>
          <w:rFonts w:ascii="Times New Roman" w:hAnsi="Times New Roman" w:cs="Times New Roman"/>
          <w:color w:val="000000" w:themeColor="text1"/>
          <w:sz w:val="28"/>
          <w:szCs w:val="28"/>
        </w:rPr>
        <w:t>TTHC</w:t>
      </w:r>
      <w:r w:rsidR="007B4577" w:rsidRPr="005301AC">
        <w:rPr>
          <w:rFonts w:ascii="Times New Roman" w:hAnsi="Times New Roman" w:cs="Times New Roman"/>
          <w:color w:val="000000" w:themeColor="text1"/>
          <w:sz w:val="28"/>
          <w:szCs w:val="28"/>
        </w:rPr>
        <w:t>)</w:t>
      </w:r>
      <w:r w:rsidRPr="005301AC">
        <w:rPr>
          <w:rFonts w:ascii="Times New Roman" w:hAnsi="Times New Roman" w:cs="Times New Roman"/>
          <w:color w:val="000000" w:themeColor="text1"/>
          <w:sz w:val="28"/>
          <w:szCs w:val="28"/>
        </w:rPr>
        <w:t>, Sở Y tế yêu cầu các phòng, đơn vị căn cứ tình hình thực tế triển khai các TTHC thuộc thẩm quyền giải quyết của mình thực hiện các nội dung sau:</w:t>
      </w:r>
    </w:p>
    <w:p w:rsidR="00173024" w:rsidRPr="005301AC" w:rsidRDefault="00173024" w:rsidP="007B4577">
      <w:pPr>
        <w:spacing w:after="0"/>
        <w:ind w:firstLine="720"/>
        <w:jc w:val="both"/>
        <w:rPr>
          <w:rFonts w:ascii="Times New Roman" w:hAnsi="Times New Roman" w:cs="Times New Roman"/>
          <w:color w:val="000000" w:themeColor="text1"/>
          <w:sz w:val="28"/>
          <w:szCs w:val="28"/>
        </w:rPr>
      </w:pPr>
      <w:r w:rsidRPr="005301AC">
        <w:rPr>
          <w:rFonts w:ascii="Times New Roman" w:hAnsi="Times New Roman" w:cs="Times New Roman"/>
          <w:color w:val="000000" w:themeColor="text1"/>
          <w:sz w:val="28"/>
          <w:szCs w:val="28"/>
        </w:rPr>
        <w:t xml:space="preserve">1. Lập danh sách các cán bộ, công chức, viên chức được phân công thực hiện các bước xử lý công việc thuộc thẩm quyền giải quyết </w:t>
      </w:r>
      <w:r w:rsidR="007B4577" w:rsidRPr="005301AC">
        <w:rPr>
          <w:rFonts w:ascii="Times New Roman" w:hAnsi="Times New Roman" w:cs="Times New Roman"/>
          <w:color w:val="000000" w:themeColor="text1"/>
          <w:sz w:val="28"/>
          <w:szCs w:val="28"/>
        </w:rPr>
        <w:t xml:space="preserve">TTHC </w:t>
      </w:r>
      <w:r w:rsidRPr="005301AC">
        <w:rPr>
          <w:rFonts w:ascii="Times New Roman" w:hAnsi="Times New Roman" w:cs="Times New Roman"/>
          <w:color w:val="000000" w:themeColor="text1"/>
          <w:sz w:val="28"/>
          <w:szCs w:val="28"/>
        </w:rPr>
        <w:t xml:space="preserve">theo </w:t>
      </w:r>
      <w:r w:rsidRPr="005301AC">
        <w:rPr>
          <w:rFonts w:ascii="Times New Roman" w:hAnsi="Times New Roman" w:cs="Times New Roman"/>
          <w:b/>
          <w:color w:val="000000" w:themeColor="text1"/>
          <w:sz w:val="28"/>
          <w:szCs w:val="28"/>
        </w:rPr>
        <w:t>Mẫu số 01</w:t>
      </w:r>
      <w:r w:rsidRPr="005301AC">
        <w:rPr>
          <w:rFonts w:ascii="Times New Roman" w:hAnsi="Times New Roman" w:cs="Times New Roman"/>
          <w:color w:val="000000" w:themeColor="text1"/>
          <w:sz w:val="28"/>
          <w:szCs w:val="28"/>
        </w:rPr>
        <w:t xml:space="preserve"> </w:t>
      </w:r>
      <w:r w:rsidR="00B3469F" w:rsidRPr="005301AC">
        <w:rPr>
          <w:rFonts w:ascii="Times New Roman" w:hAnsi="Times New Roman" w:cs="Times New Roman"/>
          <w:color w:val="000000" w:themeColor="text1"/>
          <w:sz w:val="28"/>
          <w:szCs w:val="28"/>
        </w:rPr>
        <w:t xml:space="preserve">ban hành theo Công văn này </w:t>
      </w:r>
      <w:r w:rsidRPr="005301AC">
        <w:rPr>
          <w:rFonts w:ascii="Times New Roman" w:hAnsi="Times New Roman" w:cs="Times New Roman"/>
          <w:color w:val="000000" w:themeColor="text1"/>
          <w:sz w:val="28"/>
          <w:szCs w:val="28"/>
        </w:rPr>
        <w:t>để Sở Y tế gửi danh sách đề nghị Sở Thông tin và Truyền thông lập tài khoản trên Hệ thống thông tin một cửa điện tử.</w:t>
      </w:r>
    </w:p>
    <w:p w:rsidR="00173024" w:rsidRPr="005301AC" w:rsidRDefault="00173024" w:rsidP="007B4577">
      <w:pPr>
        <w:spacing w:after="0"/>
        <w:ind w:firstLine="720"/>
        <w:jc w:val="both"/>
        <w:rPr>
          <w:rFonts w:ascii="Times New Roman" w:hAnsi="Times New Roman" w:cs="Times New Roman"/>
          <w:color w:val="000000" w:themeColor="text1"/>
          <w:sz w:val="28"/>
          <w:szCs w:val="28"/>
        </w:rPr>
      </w:pPr>
      <w:r w:rsidRPr="005301AC">
        <w:rPr>
          <w:rFonts w:ascii="Times New Roman" w:hAnsi="Times New Roman" w:cs="Times New Roman"/>
          <w:color w:val="000000" w:themeColor="text1"/>
          <w:sz w:val="28"/>
          <w:szCs w:val="28"/>
        </w:rPr>
        <w:t xml:space="preserve">2. </w:t>
      </w:r>
      <w:r w:rsidR="007F7851" w:rsidRPr="005301AC">
        <w:rPr>
          <w:rFonts w:ascii="Times New Roman" w:hAnsi="Times New Roman" w:cs="Times New Roman"/>
          <w:color w:val="000000" w:themeColor="text1"/>
          <w:sz w:val="28"/>
          <w:szCs w:val="28"/>
        </w:rPr>
        <w:t xml:space="preserve">Xây dựng quy trình nội bộ đối với việc giải quyết từng TTHC, trong đó thể hiện đầy đủ trình tự, thời gian các bước xử lý công việc trong nội bộ các cơ quan, đơn vị tham gia giải quyết TTHC theo </w:t>
      </w:r>
      <w:r w:rsidR="007F7851" w:rsidRPr="005301AC">
        <w:rPr>
          <w:rFonts w:ascii="Times New Roman" w:hAnsi="Times New Roman" w:cs="Times New Roman"/>
          <w:b/>
          <w:color w:val="000000" w:themeColor="text1"/>
          <w:sz w:val="28"/>
          <w:szCs w:val="28"/>
        </w:rPr>
        <w:t>Mẫu số 02</w:t>
      </w:r>
      <w:r w:rsidR="00B3469F" w:rsidRPr="005301AC">
        <w:rPr>
          <w:rFonts w:ascii="Times New Roman" w:hAnsi="Times New Roman" w:cs="Times New Roman"/>
          <w:color w:val="000000" w:themeColor="text1"/>
          <w:sz w:val="28"/>
          <w:szCs w:val="28"/>
        </w:rPr>
        <w:t xml:space="preserve"> ban hành theo Công văn này.</w:t>
      </w:r>
    </w:p>
    <w:p w:rsidR="007F7851" w:rsidRPr="005301AC" w:rsidRDefault="007F7851" w:rsidP="007B4577">
      <w:pPr>
        <w:spacing w:after="0"/>
        <w:ind w:firstLine="720"/>
        <w:jc w:val="both"/>
        <w:rPr>
          <w:rFonts w:ascii="Times New Roman" w:hAnsi="Times New Roman" w:cs="Times New Roman"/>
          <w:color w:val="000000" w:themeColor="text1"/>
          <w:sz w:val="28"/>
          <w:szCs w:val="28"/>
        </w:rPr>
      </w:pPr>
      <w:r w:rsidRPr="005301AC">
        <w:rPr>
          <w:rFonts w:ascii="Times New Roman" w:hAnsi="Times New Roman" w:cs="Times New Roman"/>
          <w:color w:val="000000" w:themeColor="text1"/>
          <w:sz w:val="28"/>
          <w:szCs w:val="28"/>
        </w:rPr>
        <w:t xml:space="preserve">3. Trong thời gian 08 ngày làm việc kể từ ngày UBND tỉnh ký Quyết định công bố TTHC mới, sửa đổi, bổ sung thì các phòng, </w:t>
      </w:r>
      <w:r w:rsidR="007B4577" w:rsidRPr="005301AC">
        <w:rPr>
          <w:rFonts w:ascii="Times New Roman" w:hAnsi="Times New Roman" w:cs="Times New Roman"/>
          <w:color w:val="000000" w:themeColor="text1"/>
          <w:sz w:val="28"/>
          <w:szCs w:val="28"/>
        </w:rPr>
        <w:t>đơn vị</w:t>
      </w:r>
      <w:r w:rsidRPr="005301AC">
        <w:rPr>
          <w:rFonts w:ascii="Times New Roman" w:hAnsi="Times New Roman" w:cs="Times New Roman"/>
          <w:color w:val="000000" w:themeColor="text1"/>
          <w:sz w:val="28"/>
          <w:szCs w:val="28"/>
        </w:rPr>
        <w:t xml:space="preserve"> tham gia giải quyết TTHC có trách nhiệm xây dựng quy trình nội bộ gửi Sở Y tế để phê duyệt quy trình nội bộ theo quy định.</w:t>
      </w:r>
    </w:p>
    <w:p w:rsidR="007B4577" w:rsidRPr="005301AC" w:rsidRDefault="007B4577" w:rsidP="007B4577">
      <w:pPr>
        <w:spacing w:after="0"/>
        <w:ind w:firstLine="720"/>
        <w:jc w:val="both"/>
        <w:rPr>
          <w:rFonts w:ascii="Times New Roman" w:hAnsi="Times New Roman" w:cs="Times New Roman"/>
          <w:color w:val="000000" w:themeColor="text1"/>
          <w:sz w:val="28"/>
          <w:szCs w:val="28"/>
        </w:rPr>
      </w:pPr>
      <w:r w:rsidRPr="005301AC">
        <w:rPr>
          <w:rFonts w:ascii="Times New Roman" w:hAnsi="Times New Roman" w:cs="Times New Roman"/>
          <w:color w:val="000000" w:themeColor="text1"/>
          <w:sz w:val="28"/>
          <w:szCs w:val="28"/>
        </w:rPr>
        <w:t xml:space="preserve">Yêu cầu các phòng, đơn vị nghiêm túc thực hiện và gửi các biểu mẫu về Sở Y tế (qua Văn phòng Sở) </w:t>
      </w:r>
      <w:r w:rsidRPr="005301AC">
        <w:rPr>
          <w:rFonts w:ascii="Times New Roman" w:hAnsi="Times New Roman" w:cs="Times New Roman"/>
          <w:b/>
          <w:color w:val="000000" w:themeColor="text1"/>
          <w:sz w:val="28"/>
          <w:szCs w:val="28"/>
        </w:rPr>
        <w:t>trước ngày 05/10/2018</w:t>
      </w:r>
      <w:r w:rsidRPr="005301AC">
        <w:rPr>
          <w:rFonts w:ascii="Times New Roman" w:hAnsi="Times New Roman" w:cs="Times New Roman"/>
          <w:color w:val="000000" w:themeColor="text1"/>
          <w:sz w:val="28"/>
          <w:szCs w:val="28"/>
        </w:rPr>
        <w:t xml:space="preserve">, đồng thời gửi file điện tử về địa chỉ email: </w:t>
      </w:r>
      <w:hyperlink r:id="rId8" w:history="1">
        <w:r w:rsidR="00A22D77" w:rsidRPr="005301AC">
          <w:rPr>
            <w:rStyle w:val="Hyperlink"/>
            <w:rFonts w:ascii="Times New Roman" w:hAnsi="Times New Roman" w:cs="Times New Roman"/>
            <w:color w:val="000000" w:themeColor="text1"/>
            <w:sz w:val="28"/>
            <w:szCs w:val="28"/>
          </w:rPr>
          <w:t>lanht.syt@quangbinh.gov.vn</w:t>
        </w:r>
      </w:hyperlink>
      <w:r w:rsidR="00A22D77" w:rsidRPr="005301AC">
        <w:rPr>
          <w:rFonts w:ascii="Times New Roman" w:hAnsi="Times New Roman" w:cs="Times New Roman"/>
          <w:color w:val="000000" w:themeColor="text1"/>
          <w:sz w:val="28"/>
          <w:szCs w:val="28"/>
        </w:rPr>
        <w:t xml:space="preserve">) </w:t>
      </w:r>
    </w:p>
    <w:p w:rsidR="00A22D77" w:rsidRPr="005301AC" w:rsidRDefault="00A22D77" w:rsidP="007B4577">
      <w:pPr>
        <w:spacing w:after="0"/>
        <w:ind w:firstLine="720"/>
        <w:jc w:val="both"/>
        <w:rPr>
          <w:rFonts w:ascii="Times New Roman" w:hAnsi="Times New Roman" w:cs="Times New Roman"/>
          <w:color w:val="000000" w:themeColor="text1"/>
          <w:sz w:val="28"/>
          <w:szCs w:val="28"/>
        </w:rPr>
      </w:pPr>
      <w:r w:rsidRPr="005301AC">
        <w:rPr>
          <w:rFonts w:ascii="Times New Roman" w:hAnsi="Times New Roman" w:cs="Times New Roman"/>
          <w:color w:val="000000" w:themeColor="text1"/>
          <w:sz w:val="28"/>
          <w:szCs w:val="28"/>
        </w:rPr>
        <w:t xml:space="preserve">Sở Y tế </w:t>
      </w:r>
      <w:r w:rsidR="00695391" w:rsidRPr="005301AC">
        <w:rPr>
          <w:rFonts w:ascii="Times New Roman" w:hAnsi="Times New Roman" w:cs="Times New Roman"/>
          <w:color w:val="000000" w:themeColor="text1"/>
          <w:sz w:val="28"/>
          <w:szCs w:val="28"/>
        </w:rPr>
        <w:t>đăng tải</w:t>
      </w:r>
      <w:r w:rsidRPr="005301AC">
        <w:rPr>
          <w:rFonts w:ascii="Times New Roman" w:hAnsi="Times New Roman" w:cs="Times New Roman"/>
          <w:color w:val="000000" w:themeColor="text1"/>
          <w:sz w:val="28"/>
          <w:szCs w:val="28"/>
        </w:rPr>
        <w:t xml:space="preserve"> danh mục các TTHC </w:t>
      </w:r>
      <w:r w:rsidR="00695391" w:rsidRPr="005301AC">
        <w:rPr>
          <w:rFonts w:ascii="Times New Roman" w:hAnsi="Times New Roman" w:cs="Times New Roman"/>
          <w:color w:val="000000" w:themeColor="text1"/>
          <w:sz w:val="28"/>
          <w:szCs w:val="28"/>
        </w:rPr>
        <w:t>trên Trang thông tin điện tử</w:t>
      </w:r>
      <w:r w:rsidRPr="005301AC">
        <w:rPr>
          <w:rFonts w:ascii="Times New Roman" w:hAnsi="Times New Roman" w:cs="Times New Roman"/>
          <w:color w:val="000000" w:themeColor="text1"/>
          <w:sz w:val="28"/>
          <w:szCs w:val="28"/>
        </w:rPr>
        <w:t xml:space="preserve"> để các phòng, đơn vị </w:t>
      </w:r>
      <w:r w:rsidR="00927F6D" w:rsidRPr="005301AC">
        <w:rPr>
          <w:rFonts w:ascii="Times New Roman" w:hAnsi="Times New Roman" w:cs="Times New Roman"/>
          <w:color w:val="000000" w:themeColor="text1"/>
          <w:sz w:val="28"/>
          <w:szCs w:val="28"/>
        </w:rPr>
        <w:t xml:space="preserve">biết và </w:t>
      </w:r>
      <w:r w:rsidRPr="005301AC">
        <w:rPr>
          <w:rFonts w:ascii="Times New Roman" w:hAnsi="Times New Roman" w:cs="Times New Roman"/>
          <w:color w:val="000000" w:themeColor="text1"/>
          <w:sz w:val="28"/>
          <w:szCs w:val="28"/>
        </w:rPr>
        <w:t>triển khai thực hiện./.</w:t>
      </w:r>
    </w:p>
    <w:p w:rsidR="007B4577" w:rsidRPr="005301AC" w:rsidRDefault="007B4577" w:rsidP="001E3C44">
      <w:pPr>
        <w:spacing w:after="0"/>
        <w:rPr>
          <w:rFonts w:ascii="Times New Roman" w:hAnsi="Times New Roman" w:cs="Times New Roman"/>
          <w:color w:val="000000" w:themeColor="text1"/>
          <w:sz w:val="28"/>
          <w:szCs w:val="28"/>
        </w:rPr>
      </w:pPr>
      <w:r w:rsidRPr="005301AC">
        <w:rPr>
          <w:rFonts w:ascii="Times New Roman" w:hAnsi="Times New Roman" w:cs="Times New Roman"/>
          <w:color w:val="000000" w:themeColor="text1"/>
          <w:sz w:val="28"/>
          <w:szCs w:val="28"/>
        </w:rPr>
        <w:t xml:space="preserve"> </w:t>
      </w:r>
    </w:p>
    <w:tbl>
      <w:tblPr>
        <w:tblW w:w="0" w:type="auto"/>
        <w:tblBorders>
          <w:insideH w:val="single" w:sz="4" w:space="0" w:color="auto"/>
        </w:tblBorders>
        <w:tblLook w:val="01E0" w:firstRow="1" w:lastRow="1" w:firstColumn="1" w:lastColumn="1" w:noHBand="0" w:noVBand="0"/>
      </w:tblPr>
      <w:tblGrid>
        <w:gridCol w:w="3936"/>
        <w:gridCol w:w="5064"/>
      </w:tblGrid>
      <w:tr w:rsidR="007B4577" w:rsidRPr="005301AC" w:rsidTr="00695391">
        <w:tc>
          <w:tcPr>
            <w:tcW w:w="3936" w:type="dxa"/>
          </w:tcPr>
          <w:p w:rsidR="007B4577" w:rsidRPr="005301AC" w:rsidRDefault="007B4577" w:rsidP="007B4577">
            <w:pPr>
              <w:spacing w:after="0"/>
              <w:rPr>
                <w:rFonts w:ascii="Times New Roman" w:hAnsi="Times New Roman" w:cs="Times New Roman"/>
                <w:b/>
                <w:i/>
                <w:color w:val="000000" w:themeColor="text1"/>
                <w:lang w:val="pt-BR"/>
              </w:rPr>
            </w:pPr>
            <w:r w:rsidRPr="005301AC">
              <w:rPr>
                <w:rFonts w:ascii="Times New Roman" w:hAnsi="Times New Roman" w:cs="Times New Roman"/>
                <w:b/>
                <w:i/>
                <w:color w:val="000000" w:themeColor="text1"/>
                <w:lang w:val="pt-BR"/>
              </w:rPr>
              <w:t>Nơi nhận:</w:t>
            </w:r>
          </w:p>
          <w:p w:rsidR="007B4577" w:rsidRPr="005301AC" w:rsidRDefault="007B4577" w:rsidP="007B4577">
            <w:pPr>
              <w:spacing w:after="0"/>
              <w:rPr>
                <w:rFonts w:ascii="Times New Roman" w:hAnsi="Times New Roman" w:cs="Times New Roman"/>
                <w:color w:val="000000" w:themeColor="text1"/>
                <w:lang w:val="pt-BR"/>
              </w:rPr>
            </w:pPr>
            <w:r w:rsidRPr="005301AC">
              <w:rPr>
                <w:rFonts w:ascii="Times New Roman" w:hAnsi="Times New Roman" w:cs="Times New Roman"/>
                <w:color w:val="000000" w:themeColor="text1"/>
                <w:lang w:val="pt-BR"/>
              </w:rPr>
              <w:t>- Như trên;</w:t>
            </w:r>
          </w:p>
          <w:p w:rsidR="007B4577" w:rsidRPr="005301AC" w:rsidRDefault="007B4577" w:rsidP="007B4577">
            <w:pPr>
              <w:spacing w:after="0"/>
              <w:rPr>
                <w:rFonts w:ascii="Times New Roman" w:hAnsi="Times New Roman" w:cs="Times New Roman"/>
                <w:color w:val="000000" w:themeColor="text1"/>
                <w:lang w:val="pt-BR"/>
              </w:rPr>
            </w:pPr>
            <w:r w:rsidRPr="005301AC">
              <w:rPr>
                <w:rFonts w:ascii="Times New Roman" w:hAnsi="Times New Roman" w:cs="Times New Roman"/>
                <w:color w:val="000000" w:themeColor="text1"/>
                <w:lang w:val="pt-BR"/>
              </w:rPr>
              <w:t>- Văn phòng UBND tỉnh (để biết);</w:t>
            </w:r>
          </w:p>
          <w:p w:rsidR="007B4577" w:rsidRPr="005301AC" w:rsidRDefault="007B4577" w:rsidP="007B4577">
            <w:pPr>
              <w:spacing w:after="0"/>
              <w:rPr>
                <w:rFonts w:ascii="Times New Roman" w:hAnsi="Times New Roman" w:cs="Times New Roman"/>
                <w:color w:val="000000" w:themeColor="text1"/>
                <w:lang w:val="pt-BR"/>
              </w:rPr>
            </w:pPr>
            <w:r w:rsidRPr="005301AC">
              <w:rPr>
                <w:rFonts w:ascii="Times New Roman" w:hAnsi="Times New Roman" w:cs="Times New Roman"/>
                <w:color w:val="000000" w:themeColor="text1"/>
                <w:lang w:val="pt-BR"/>
              </w:rPr>
              <w:t>- Website Sở Y tế;</w:t>
            </w:r>
          </w:p>
          <w:p w:rsidR="007B4577" w:rsidRPr="005301AC" w:rsidRDefault="007B4577" w:rsidP="007B4577">
            <w:pPr>
              <w:spacing w:after="0"/>
              <w:rPr>
                <w:rFonts w:ascii="Times New Roman" w:hAnsi="Times New Roman" w:cs="Times New Roman"/>
                <w:color w:val="000000" w:themeColor="text1"/>
                <w:lang w:val="pt-BR"/>
              </w:rPr>
            </w:pPr>
            <w:r w:rsidRPr="005301AC">
              <w:rPr>
                <w:rFonts w:ascii="Times New Roman" w:hAnsi="Times New Roman" w:cs="Times New Roman"/>
                <w:color w:val="000000" w:themeColor="text1"/>
                <w:lang w:val="pt-BR"/>
              </w:rPr>
              <w:t>- Lưu: VT, VP.</w:t>
            </w:r>
          </w:p>
        </w:tc>
        <w:tc>
          <w:tcPr>
            <w:tcW w:w="5064" w:type="dxa"/>
          </w:tcPr>
          <w:p w:rsidR="007B4577" w:rsidRPr="005301AC" w:rsidRDefault="007B4577" w:rsidP="007B4577">
            <w:pPr>
              <w:spacing w:after="0"/>
              <w:jc w:val="center"/>
              <w:rPr>
                <w:rFonts w:ascii="Times New Roman" w:hAnsi="Times New Roman" w:cs="Times New Roman"/>
                <w:color w:val="000000" w:themeColor="text1"/>
                <w:szCs w:val="28"/>
                <w:lang w:val="pt-BR"/>
              </w:rPr>
            </w:pPr>
            <w:r w:rsidRPr="005301AC">
              <w:rPr>
                <w:rFonts w:ascii="Times New Roman" w:hAnsi="Times New Roman" w:cs="Times New Roman"/>
                <w:b/>
                <w:color w:val="000000" w:themeColor="text1"/>
                <w:sz w:val="28"/>
                <w:szCs w:val="28"/>
                <w:lang w:val="pt-BR"/>
              </w:rPr>
              <w:t>GIÁM ĐỐC</w:t>
            </w:r>
          </w:p>
          <w:p w:rsidR="007B4577" w:rsidRPr="005301AC" w:rsidRDefault="007B4577" w:rsidP="007B4577">
            <w:pPr>
              <w:spacing w:after="0"/>
              <w:jc w:val="center"/>
              <w:rPr>
                <w:rFonts w:ascii="Times New Roman" w:hAnsi="Times New Roman" w:cs="Times New Roman"/>
                <w:b/>
                <w:color w:val="000000" w:themeColor="text1"/>
                <w:lang w:val="pt-BR"/>
              </w:rPr>
            </w:pPr>
          </w:p>
          <w:p w:rsidR="007B4577" w:rsidRPr="005301AC" w:rsidRDefault="007B4577" w:rsidP="007B4577">
            <w:pPr>
              <w:spacing w:after="0"/>
              <w:jc w:val="center"/>
              <w:rPr>
                <w:rFonts w:ascii="Times New Roman" w:hAnsi="Times New Roman" w:cs="Times New Roman"/>
                <w:b/>
                <w:color w:val="000000" w:themeColor="text1"/>
                <w:lang w:val="pt-BR"/>
              </w:rPr>
            </w:pPr>
          </w:p>
          <w:p w:rsidR="007B4577" w:rsidRPr="005301AC" w:rsidRDefault="007B4577" w:rsidP="007B4577">
            <w:pPr>
              <w:spacing w:after="0"/>
              <w:jc w:val="center"/>
              <w:rPr>
                <w:rFonts w:ascii="Times New Roman" w:hAnsi="Times New Roman" w:cs="Times New Roman"/>
                <w:b/>
                <w:color w:val="000000" w:themeColor="text1"/>
                <w:lang w:val="pt-BR"/>
              </w:rPr>
            </w:pPr>
          </w:p>
          <w:p w:rsidR="007B4577" w:rsidRPr="005301AC" w:rsidRDefault="007B4577" w:rsidP="007B4577">
            <w:pPr>
              <w:spacing w:after="0"/>
              <w:jc w:val="center"/>
              <w:rPr>
                <w:rFonts w:ascii="Times New Roman" w:hAnsi="Times New Roman" w:cs="Times New Roman"/>
                <w:b/>
                <w:color w:val="000000" w:themeColor="text1"/>
                <w:lang w:val="pt-BR"/>
              </w:rPr>
            </w:pPr>
          </w:p>
          <w:p w:rsidR="007B4577" w:rsidRPr="005301AC" w:rsidRDefault="007B4577" w:rsidP="007B4577">
            <w:pPr>
              <w:spacing w:after="0"/>
              <w:jc w:val="center"/>
              <w:rPr>
                <w:rFonts w:ascii="Times New Roman" w:hAnsi="Times New Roman" w:cs="Times New Roman"/>
                <w:b/>
                <w:color w:val="000000" w:themeColor="text1"/>
                <w:lang w:val="pt-BR"/>
              </w:rPr>
            </w:pPr>
          </w:p>
          <w:p w:rsidR="007B4577" w:rsidRPr="005301AC" w:rsidRDefault="007B4577" w:rsidP="007B4577">
            <w:pPr>
              <w:spacing w:after="0"/>
              <w:jc w:val="center"/>
              <w:rPr>
                <w:rFonts w:ascii="Times New Roman" w:hAnsi="Times New Roman" w:cs="Times New Roman"/>
                <w:b/>
                <w:color w:val="000000" w:themeColor="text1"/>
                <w:szCs w:val="28"/>
                <w:lang w:val="pt-BR"/>
              </w:rPr>
            </w:pPr>
            <w:r w:rsidRPr="005301AC">
              <w:rPr>
                <w:rFonts w:ascii="Times New Roman" w:hAnsi="Times New Roman" w:cs="Times New Roman"/>
                <w:b/>
                <w:color w:val="000000" w:themeColor="text1"/>
                <w:sz w:val="28"/>
                <w:szCs w:val="28"/>
                <w:lang w:val="pt-BR"/>
              </w:rPr>
              <w:t>Nguyễn Đức Cường</w:t>
            </w:r>
          </w:p>
        </w:tc>
      </w:tr>
    </w:tbl>
    <w:p w:rsidR="007F7851" w:rsidRPr="005301AC" w:rsidRDefault="007F7851" w:rsidP="001E3C44">
      <w:pPr>
        <w:spacing w:after="0"/>
        <w:rPr>
          <w:rFonts w:ascii="Times New Roman" w:hAnsi="Times New Roman" w:cs="Times New Roman"/>
          <w:color w:val="000000" w:themeColor="text1"/>
          <w:sz w:val="28"/>
          <w:szCs w:val="28"/>
        </w:rPr>
      </w:pPr>
    </w:p>
    <w:p w:rsidR="007B4577" w:rsidRPr="005301AC" w:rsidRDefault="007B4577" w:rsidP="007B4577">
      <w:pPr>
        <w:jc w:val="center"/>
        <w:rPr>
          <w:b/>
          <w:bCs/>
          <w:color w:val="000000" w:themeColor="text1"/>
          <w:sz w:val="28"/>
          <w:szCs w:val="28"/>
        </w:rPr>
        <w:sectPr w:rsidR="007B4577" w:rsidRPr="005301AC" w:rsidSect="00927F6D">
          <w:pgSz w:w="11907" w:h="16840" w:code="9"/>
          <w:pgMar w:top="1134" w:right="1134" w:bottom="709" w:left="1701" w:header="720" w:footer="720" w:gutter="0"/>
          <w:cols w:space="720"/>
          <w:docGrid w:linePitch="360"/>
        </w:sectPr>
      </w:pPr>
    </w:p>
    <w:p w:rsidR="00D17DDD" w:rsidRPr="005301AC" w:rsidRDefault="00D17DDD" w:rsidP="00D17DDD">
      <w:pPr>
        <w:spacing w:after="0"/>
        <w:jc w:val="center"/>
        <w:rPr>
          <w:rFonts w:ascii="Times New Roman" w:hAnsi="Times New Roman" w:cs="Times New Roman"/>
          <w:b/>
          <w:bCs/>
          <w:color w:val="000000" w:themeColor="text1"/>
          <w:sz w:val="28"/>
          <w:szCs w:val="28"/>
        </w:rPr>
      </w:pPr>
      <w:r w:rsidRPr="005301AC">
        <w:rPr>
          <w:rFonts w:ascii="Times New Roman" w:hAnsi="Times New Roman" w:cs="Times New Roman"/>
          <w:b/>
          <w:bCs/>
          <w:color w:val="000000" w:themeColor="text1"/>
          <w:sz w:val="28"/>
          <w:szCs w:val="28"/>
        </w:rPr>
        <w:lastRenderedPageBreak/>
        <w:t>Mấu số 01</w:t>
      </w:r>
    </w:p>
    <w:p w:rsidR="00D17DDD" w:rsidRPr="005301AC" w:rsidRDefault="00D17DDD" w:rsidP="00D17DDD">
      <w:pPr>
        <w:jc w:val="center"/>
        <w:rPr>
          <w:rFonts w:ascii="Times New Roman" w:hAnsi="Times New Roman" w:cs="Times New Roman"/>
          <w:bCs/>
          <w:i/>
          <w:color w:val="000000" w:themeColor="text1"/>
          <w:sz w:val="28"/>
          <w:szCs w:val="28"/>
        </w:rPr>
      </w:pPr>
      <w:r w:rsidRPr="005301AC">
        <w:rPr>
          <w:rFonts w:ascii="Times New Roman" w:hAnsi="Times New Roman" w:cs="Times New Roman"/>
          <w:bCs/>
          <w:i/>
          <w:color w:val="000000" w:themeColor="text1"/>
          <w:sz w:val="28"/>
          <w:szCs w:val="28"/>
        </w:rPr>
        <w:t xml:space="preserve">(Ban hành kèm theo Công văn số    </w:t>
      </w:r>
      <w:r w:rsidR="00A22D77" w:rsidRPr="005301AC">
        <w:rPr>
          <w:rFonts w:ascii="Times New Roman" w:hAnsi="Times New Roman" w:cs="Times New Roman"/>
          <w:bCs/>
          <w:i/>
          <w:color w:val="000000" w:themeColor="text1"/>
          <w:sz w:val="28"/>
          <w:szCs w:val="28"/>
        </w:rPr>
        <w:t xml:space="preserve"> </w:t>
      </w:r>
      <w:r w:rsidRPr="005301AC">
        <w:rPr>
          <w:rFonts w:ascii="Times New Roman" w:hAnsi="Times New Roman" w:cs="Times New Roman"/>
          <w:bCs/>
          <w:i/>
          <w:color w:val="000000" w:themeColor="text1"/>
          <w:sz w:val="28"/>
          <w:szCs w:val="28"/>
        </w:rPr>
        <w:t xml:space="preserve">         /SYT-VP ngày      /     /2018 của Sở Y tế)</w:t>
      </w:r>
    </w:p>
    <w:tbl>
      <w:tblPr>
        <w:tblStyle w:val="TableGrid"/>
        <w:tblW w:w="0" w:type="auto"/>
        <w:tblLook w:val="04A0" w:firstRow="1" w:lastRow="0" w:firstColumn="1" w:lastColumn="0" w:noHBand="0" w:noVBand="1"/>
      </w:tblPr>
      <w:tblGrid>
        <w:gridCol w:w="891"/>
        <w:gridCol w:w="2619"/>
        <w:gridCol w:w="2835"/>
        <w:gridCol w:w="3969"/>
        <w:gridCol w:w="4474"/>
      </w:tblGrid>
      <w:tr w:rsidR="00B12698" w:rsidRPr="005301AC" w:rsidTr="00B12698">
        <w:trPr>
          <w:trHeight w:val="901"/>
        </w:trPr>
        <w:tc>
          <w:tcPr>
            <w:tcW w:w="891" w:type="dxa"/>
            <w:vAlign w:val="center"/>
          </w:tcPr>
          <w:p w:rsidR="00B12698" w:rsidRPr="005301AC" w:rsidRDefault="00B12698" w:rsidP="00B12698">
            <w:pPr>
              <w:spacing w:line="360" w:lineRule="auto"/>
              <w:jc w:val="center"/>
              <w:rPr>
                <w:rFonts w:ascii="Times New Roman" w:hAnsi="Times New Roman" w:cs="Times New Roman"/>
                <w:b/>
                <w:bCs/>
                <w:color w:val="000000" w:themeColor="text1"/>
                <w:sz w:val="28"/>
                <w:szCs w:val="28"/>
              </w:rPr>
            </w:pPr>
            <w:r w:rsidRPr="005301AC">
              <w:rPr>
                <w:rFonts w:ascii="Times New Roman" w:hAnsi="Times New Roman" w:cs="Times New Roman"/>
                <w:b/>
                <w:bCs/>
                <w:color w:val="000000" w:themeColor="text1"/>
                <w:sz w:val="28"/>
                <w:szCs w:val="28"/>
              </w:rPr>
              <w:t>STT</w:t>
            </w:r>
          </w:p>
        </w:tc>
        <w:tc>
          <w:tcPr>
            <w:tcW w:w="2619" w:type="dxa"/>
            <w:vAlign w:val="center"/>
          </w:tcPr>
          <w:p w:rsidR="00B12698" w:rsidRPr="005301AC" w:rsidRDefault="00B12698" w:rsidP="00B12698">
            <w:pPr>
              <w:spacing w:line="360" w:lineRule="auto"/>
              <w:jc w:val="center"/>
              <w:rPr>
                <w:rFonts w:ascii="Times New Roman" w:hAnsi="Times New Roman" w:cs="Times New Roman"/>
                <w:b/>
                <w:bCs/>
                <w:color w:val="000000" w:themeColor="text1"/>
                <w:sz w:val="28"/>
                <w:szCs w:val="28"/>
              </w:rPr>
            </w:pPr>
            <w:r w:rsidRPr="005301AC">
              <w:rPr>
                <w:rFonts w:ascii="Times New Roman" w:hAnsi="Times New Roman" w:cs="Times New Roman"/>
                <w:b/>
                <w:bCs/>
                <w:color w:val="000000" w:themeColor="text1"/>
                <w:sz w:val="28"/>
                <w:szCs w:val="28"/>
              </w:rPr>
              <w:t>Họ và tên</w:t>
            </w:r>
          </w:p>
        </w:tc>
        <w:tc>
          <w:tcPr>
            <w:tcW w:w="2835" w:type="dxa"/>
            <w:vAlign w:val="center"/>
          </w:tcPr>
          <w:p w:rsidR="00B12698" w:rsidRPr="005301AC" w:rsidRDefault="00B12698" w:rsidP="00B12698">
            <w:pPr>
              <w:spacing w:line="360" w:lineRule="auto"/>
              <w:jc w:val="center"/>
              <w:rPr>
                <w:rFonts w:ascii="Times New Roman" w:hAnsi="Times New Roman" w:cs="Times New Roman"/>
                <w:b/>
                <w:bCs/>
                <w:color w:val="000000" w:themeColor="text1"/>
                <w:sz w:val="28"/>
                <w:szCs w:val="28"/>
              </w:rPr>
            </w:pPr>
            <w:r w:rsidRPr="005301AC">
              <w:rPr>
                <w:rFonts w:ascii="Times New Roman" w:hAnsi="Times New Roman" w:cs="Times New Roman"/>
                <w:b/>
                <w:bCs/>
                <w:color w:val="000000" w:themeColor="text1"/>
                <w:sz w:val="28"/>
                <w:szCs w:val="28"/>
              </w:rPr>
              <w:t>Chức vụ</w:t>
            </w:r>
          </w:p>
        </w:tc>
        <w:tc>
          <w:tcPr>
            <w:tcW w:w="3969" w:type="dxa"/>
            <w:vAlign w:val="center"/>
          </w:tcPr>
          <w:p w:rsidR="00B12698" w:rsidRPr="005301AC" w:rsidRDefault="00B12698" w:rsidP="00B12698">
            <w:pPr>
              <w:spacing w:line="360" w:lineRule="auto"/>
              <w:jc w:val="center"/>
              <w:rPr>
                <w:rFonts w:ascii="Times New Roman" w:hAnsi="Times New Roman" w:cs="Times New Roman"/>
                <w:b/>
                <w:bCs/>
                <w:color w:val="000000" w:themeColor="text1"/>
                <w:sz w:val="28"/>
                <w:szCs w:val="28"/>
              </w:rPr>
            </w:pPr>
            <w:r w:rsidRPr="005301AC">
              <w:rPr>
                <w:rFonts w:ascii="Times New Roman" w:hAnsi="Times New Roman" w:cs="Times New Roman"/>
                <w:b/>
                <w:bCs/>
                <w:color w:val="000000" w:themeColor="text1"/>
                <w:sz w:val="28"/>
                <w:szCs w:val="28"/>
              </w:rPr>
              <w:t>Địa chỉ thư điện tử công vụ (nếu có)</w:t>
            </w:r>
          </w:p>
        </w:tc>
        <w:tc>
          <w:tcPr>
            <w:tcW w:w="4474" w:type="dxa"/>
            <w:vAlign w:val="center"/>
          </w:tcPr>
          <w:p w:rsidR="00B12698" w:rsidRPr="005301AC" w:rsidRDefault="00B12698" w:rsidP="00B12698">
            <w:pPr>
              <w:spacing w:line="360" w:lineRule="auto"/>
              <w:jc w:val="center"/>
              <w:rPr>
                <w:rFonts w:ascii="Times New Roman" w:hAnsi="Times New Roman" w:cs="Times New Roman"/>
                <w:b/>
                <w:bCs/>
                <w:color w:val="000000" w:themeColor="text1"/>
                <w:sz w:val="28"/>
                <w:szCs w:val="28"/>
              </w:rPr>
            </w:pPr>
            <w:r w:rsidRPr="005301AC">
              <w:rPr>
                <w:rFonts w:ascii="Times New Roman" w:hAnsi="Times New Roman" w:cs="Times New Roman"/>
                <w:b/>
                <w:bCs/>
                <w:color w:val="000000" w:themeColor="text1"/>
                <w:sz w:val="28"/>
                <w:szCs w:val="28"/>
              </w:rPr>
              <w:t>Công việc được phân công</w:t>
            </w:r>
          </w:p>
        </w:tc>
      </w:tr>
      <w:tr w:rsidR="00B12698" w:rsidRPr="005301AC" w:rsidTr="00B12698">
        <w:tc>
          <w:tcPr>
            <w:tcW w:w="891" w:type="dxa"/>
          </w:tcPr>
          <w:p w:rsidR="00B12698" w:rsidRPr="005301AC" w:rsidRDefault="00B12698" w:rsidP="00D17DDD">
            <w:pPr>
              <w:spacing w:line="360" w:lineRule="auto"/>
              <w:rPr>
                <w:rFonts w:ascii="Times New Roman" w:hAnsi="Times New Roman" w:cs="Times New Roman"/>
                <w:bCs/>
                <w:color w:val="000000" w:themeColor="text1"/>
                <w:sz w:val="28"/>
                <w:szCs w:val="28"/>
              </w:rPr>
            </w:pPr>
            <w:r w:rsidRPr="005301AC">
              <w:rPr>
                <w:rFonts w:ascii="Times New Roman" w:hAnsi="Times New Roman" w:cs="Times New Roman"/>
                <w:bCs/>
                <w:color w:val="000000" w:themeColor="text1"/>
                <w:sz w:val="28"/>
                <w:szCs w:val="28"/>
              </w:rPr>
              <w:t>1</w:t>
            </w:r>
          </w:p>
        </w:tc>
        <w:tc>
          <w:tcPr>
            <w:tcW w:w="2619" w:type="dxa"/>
          </w:tcPr>
          <w:p w:rsidR="00B12698" w:rsidRPr="005301AC" w:rsidRDefault="00B12698" w:rsidP="00D17DDD">
            <w:pPr>
              <w:spacing w:line="360" w:lineRule="auto"/>
              <w:rPr>
                <w:rFonts w:ascii="Times New Roman" w:hAnsi="Times New Roman" w:cs="Times New Roman"/>
                <w:bCs/>
                <w:color w:val="000000" w:themeColor="text1"/>
                <w:sz w:val="28"/>
                <w:szCs w:val="28"/>
              </w:rPr>
            </w:pPr>
            <w:r w:rsidRPr="005301AC">
              <w:rPr>
                <w:rFonts w:ascii="Times New Roman" w:hAnsi="Times New Roman" w:cs="Times New Roman"/>
                <w:bCs/>
                <w:color w:val="000000" w:themeColor="text1"/>
                <w:sz w:val="28"/>
                <w:szCs w:val="28"/>
              </w:rPr>
              <w:t>……………</w:t>
            </w:r>
          </w:p>
        </w:tc>
        <w:tc>
          <w:tcPr>
            <w:tcW w:w="2835" w:type="dxa"/>
          </w:tcPr>
          <w:p w:rsidR="00B12698" w:rsidRPr="005301AC" w:rsidRDefault="00B12698" w:rsidP="00D17DDD">
            <w:pPr>
              <w:spacing w:line="360" w:lineRule="auto"/>
              <w:rPr>
                <w:rFonts w:ascii="Times New Roman" w:hAnsi="Times New Roman" w:cs="Times New Roman"/>
                <w:bCs/>
                <w:color w:val="000000" w:themeColor="text1"/>
                <w:sz w:val="28"/>
                <w:szCs w:val="28"/>
              </w:rPr>
            </w:pPr>
            <w:r w:rsidRPr="005301AC">
              <w:rPr>
                <w:rFonts w:ascii="Times New Roman" w:hAnsi="Times New Roman" w:cs="Times New Roman"/>
                <w:bCs/>
                <w:color w:val="000000" w:themeColor="text1"/>
                <w:sz w:val="28"/>
                <w:szCs w:val="28"/>
              </w:rPr>
              <w:t>Giám đốc…</w:t>
            </w:r>
          </w:p>
        </w:tc>
        <w:tc>
          <w:tcPr>
            <w:tcW w:w="3969" w:type="dxa"/>
          </w:tcPr>
          <w:p w:rsidR="00B12698" w:rsidRPr="005301AC" w:rsidRDefault="00B12698" w:rsidP="00D17DDD">
            <w:pPr>
              <w:spacing w:line="360" w:lineRule="auto"/>
              <w:rPr>
                <w:rFonts w:ascii="Times New Roman" w:hAnsi="Times New Roman" w:cs="Times New Roman"/>
                <w:bCs/>
                <w:color w:val="000000" w:themeColor="text1"/>
                <w:sz w:val="28"/>
                <w:szCs w:val="28"/>
              </w:rPr>
            </w:pPr>
            <w:r w:rsidRPr="005301AC">
              <w:rPr>
                <w:rFonts w:ascii="Times New Roman" w:hAnsi="Times New Roman" w:cs="Times New Roman"/>
                <w:bCs/>
                <w:color w:val="000000" w:themeColor="text1"/>
                <w:sz w:val="28"/>
                <w:szCs w:val="28"/>
              </w:rPr>
              <w:t>abc.syt@quangbinh.gov.vn</w:t>
            </w:r>
          </w:p>
        </w:tc>
        <w:tc>
          <w:tcPr>
            <w:tcW w:w="4474" w:type="dxa"/>
          </w:tcPr>
          <w:p w:rsidR="00B12698" w:rsidRPr="005301AC" w:rsidRDefault="00B12698" w:rsidP="00D17DDD">
            <w:pPr>
              <w:spacing w:line="360" w:lineRule="auto"/>
              <w:rPr>
                <w:rFonts w:ascii="Times New Roman" w:hAnsi="Times New Roman" w:cs="Times New Roman"/>
                <w:bCs/>
                <w:color w:val="000000" w:themeColor="text1"/>
                <w:sz w:val="28"/>
                <w:szCs w:val="28"/>
              </w:rPr>
            </w:pPr>
            <w:r w:rsidRPr="005301AC">
              <w:rPr>
                <w:rFonts w:ascii="Times New Roman" w:hAnsi="Times New Roman" w:cs="Times New Roman"/>
                <w:bCs/>
                <w:color w:val="000000" w:themeColor="text1"/>
                <w:sz w:val="28"/>
                <w:szCs w:val="28"/>
              </w:rPr>
              <w:t>Ký duyệt kết quả giải quyết TTHC</w:t>
            </w:r>
          </w:p>
        </w:tc>
      </w:tr>
      <w:tr w:rsidR="00B12698" w:rsidRPr="005301AC" w:rsidTr="00B12698">
        <w:tc>
          <w:tcPr>
            <w:tcW w:w="891" w:type="dxa"/>
          </w:tcPr>
          <w:p w:rsidR="00B12698" w:rsidRPr="005301AC" w:rsidRDefault="00B12698" w:rsidP="00D17DDD">
            <w:pPr>
              <w:spacing w:line="360" w:lineRule="auto"/>
              <w:rPr>
                <w:rFonts w:ascii="Times New Roman" w:hAnsi="Times New Roman" w:cs="Times New Roman"/>
                <w:bCs/>
                <w:color w:val="000000" w:themeColor="text1"/>
                <w:sz w:val="28"/>
                <w:szCs w:val="28"/>
              </w:rPr>
            </w:pPr>
            <w:r w:rsidRPr="005301AC">
              <w:rPr>
                <w:rFonts w:ascii="Times New Roman" w:hAnsi="Times New Roman" w:cs="Times New Roman"/>
                <w:bCs/>
                <w:color w:val="000000" w:themeColor="text1"/>
                <w:sz w:val="28"/>
                <w:szCs w:val="28"/>
              </w:rPr>
              <w:t>2</w:t>
            </w:r>
          </w:p>
        </w:tc>
        <w:tc>
          <w:tcPr>
            <w:tcW w:w="2619" w:type="dxa"/>
          </w:tcPr>
          <w:p w:rsidR="00B12698" w:rsidRPr="005301AC" w:rsidRDefault="00B12698">
            <w:pPr>
              <w:rPr>
                <w:color w:val="000000" w:themeColor="text1"/>
              </w:rPr>
            </w:pPr>
            <w:r w:rsidRPr="005301AC">
              <w:rPr>
                <w:rFonts w:ascii="Times New Roman" w:hAnsi="Times New Roman" w:cs="Times New Roman"/>
                <w:bCs/>
                <w:color w:val="000000" w:themeColor="text1"/>
                <w:sz w:val="28"/>
                <w:szCs w:val="28"/>
              </w:rPr>
              <w:t>……………</w:t>
            </w:r>
          </w:p>
        </w:tc>
        <w:tc>
          <w:tcPr>
            <w:tcW w:w="2835" w:type="dxa"/>
          </w:tcPr>
          <w:p w:rsidR="00B12698" w:rsidRPr="005301AC" w:rsidRDefault="00B12698" w:rsidP="00D17DDD">
            <w:pPr>
              <w:spacing w:line="360" w:lineRule="auto"/>
              <w:rPr>
                <w:rFonts w:ascii="Times New Roman" w:hAnsi="Times New Roman" w:cs="Times New Roman"/>
                <w:bCs/>
                <w:color w:val="000000" w:themeColor="text1"/>
                <w:sz w:val="28"/>
                <w:szCs w:val="28"/>
              </w:rPr>
            </w:pPr>
            <w:r w:rsidRPr="005301AC">
              <w:rPr>
                <w:rFonts w:ascii="Times New Roman" w:hAnsi="Times New Roman" w:cs="Times New Roman"/>
                <w:bCs/>
                <w:color w:val="000000" w:themeColor="text1"/>
                <w:sz w:val="28"/>
                <w:szCs w:val="28"/>
              </w:rPr>
              <w:t>Trưởng phòng….</w:t>
            </w:r>
          </w:p>
        </w:tc>
        <w:tc>
          <w:tcPr>
            <w:tcW w:w="3969" w:type="dxa"/>
          </w:tcPr>
          <w:p w:rsidR="00B12698" w:rsidRPr="005301AC" w:rsidRDefault="00A22D77" w:rsidP="00D17DDD">
            <w:pPr>
              <w:spacing w:line="360" w:lineRule="auto"/>
              <w:rPr>
                <w:rFonts w:ascii="Times New Roman" w:hAnsi="Times New Roman" w:cs="Times New Roman"/>
                <w:bCs/>
                <w:color w:val="000000" w:themeColor="text1"/>
                <w:sz w:val="28"/>
                <w:szCs w:val="28"/>
              </w:rPr>
            </w:pPr>
            <w:r w:rsidRPr="005301AC">
              <w:rPr>
                <w:rFonts w:ascii="Times New Roman" w:hAnsi="Times New Roman" w:cs="Times New Roman"/>
                <w:bCs/>
                <w:color w:val="000000" w:themeColor="text1"/>
                <w:sz w:val="28"/>
                <w:szCs w:val="28"/>
              </w:rPr>
              <w:t>.. ……………</w:t>
            </w:r>
          </w:p>
        </w:tc>
        <w:tc>
          <w:tcPr>
            <w:tcW w:w="4474" w:type="dxa"/>
          </w:tcPr>
          <w:p w:rsidR="00B12698" w:rsidRPr="005301AC" w:rsidRDefault="00B12698" w:rsidP="00D17DDD">
            <w:pPr>
              <w:spacing w:line="360" w:lineRule="auto"/>
              <w:rPr>
                <w:rFonts w:ascii="Times New Roman" w:hAnsi="Times New Roman" w:cs="Times New Roman"/>
                <w:bCs/>
                <w:color w:val="000000" w:themeColor="text1"/>
                <w:sz w:val="28"/>
                <w:szCs w:val="28"/>
              </w:rPr>
            </w:pPr>
            <w:r w:rsidRPr="005301AC">
              <w:rPr>
                <w:rFonts w:ascii="Times New Roman" w:hAnsi="Times New Roman" w:cs="Times New Roman"/>
                <w:bCs/>
                <w:color w:val="000000" w:themeColor="text1"/>
                <w:sz w:val="28"/>
                <w:szCs w:val="28"/>
              </w:rPr>
              <w:t>Phê duyệt cấp phòng…</w:t>
            </w:r>
          </w:p>
        </w:tc>
      </w:tr>
      <w:tr w:rsidR="00B12698" w:rsidRPr="005301AC" w:rsidTr="00B12698">
        <w:tc>
          <w:tcPr>
            <w:tcW w:w="891" w:type="dxa"/>
          </w:tcPr>
          <w:p w:rsidR="00B12698" w:rsidRPr="005301AC" w:rsidRDefault="00B12698" w:rsidP="00D17DDD">
            <w:pPr>
              <w:spacing w:line="360" w:lineRule="auto"/>
              <w:rPr>
                <w:rFonts w:ascii="Times New Roman" w:hAnsi="Times New Roman" w:cs="Times New Roman"/>
                <w:bCs/>
                <w:color w:val="000000" w:themeColor="text1"/>
                <w:sz w:val="28"/>
                <w:szCs w:val="28"/>
              </w:rPr>
            </w:pPr>
            <w:r w:rsidRPr="005301AC">
              <w:rPr>
                <w:rFonts w:ascii="Times New Roman" w:hAnsi="Times New Roman" w:cs="Times New Roman"/>
                <w:bCs/>
                <w:color w:val="000000" w:themeColor="text1"/>
                <w:sz w:val="28"/>
                <w:szCs w:val="28"/>
              </w:rPr>
              <w:t>3</w:t>
            </w:r>
          </w:p>
        </w:tc>
        <w:tc>
          <w:tcPr>
            <w:tcW w:w="2619" w:type="dxa"/>
          </w:tcPr>
          <w:p w:rsidR="00B12698" w:rsidRPr="005301AC" w:rsidRDefault="00B12698">
            <w:pPr>
              <w:rPr>
                <w:color w:val="000000" w:themeColor="text1"/>
              </w:rPr>
            </w:pPr>
            <w:r w:rsidRPr="005301AC">
              <w:rPr>
                <w:rFonts w:ascii="Times New Roman" w:hAnsi="Times New Roman" w:cs="Times New Roman"/>
                <w:bCs/>
                <w:color w:val="000000" w:themeColor="text1"/>
                <w:sz w:val="28"/>
                <w:szCs w:val="28"/>
              </w:rPr>
              <w:t>……………</w:t>
            </w:r>
          </w:p>
        </w:tc>
        <w:tc>
          <w:tcPr>
            <w:tcW w:w="2835" w:type="dxa"/>
          </w:tcPr>
          <w:p w:rsidR="00B12698" w:rsidRPr="005301AC" w:rsidRDefault="00B12698" w:rsidP="00D17DDD">
            <w:pPr>
              <w:spacing w:line="360" w:lineRule="auto"/>
              <w:rPr>
                <w:rFonts w:ascii="Times New Roman" w:hAnsi="Times New Roman" w:cs="Times New Roman"/>
                <w:bCs/>
                <w:color w:val="000000" w:themeColor="text1"/>
                <w:sz w:val="28"/>
                <w:szCs w:val="28"/>
              </w:rPr>
            </w:pPr>
            <w:r w:rsidRPr="005301AC">
              <w:rPr>
                <w:rFonts w:ascii="Times New Roman" w:hAnsi="Times New Roman" w:cs="Times New Roman"/>
                <w:bCs/>
                <w:color w:val="000000" w:themeColor="text1"/>
                <w:sz w:val="28"/>
                <w:szCs w:val="28"/>
              </w:rPr>
              <w:t>Cán bộ phòng/khoa….</w:t>
            </w:r>
          </w:p>
        </w:tc>
        <w:tc>
          <w:tcPr>
            <w:tcW w:w="3969" w:type="dxa"/>
          </w:tcPr>
          <w:p w:rsidR="00B12698" w:rsidRPr="005301AC" w:rsidRDefault="00A22D77" w:rsidP="00D17DDD">
            <w:pPr>
              <w:spacing w:line="360" w:lineRule="auto"/>
              <w:rPr>
                <w:rFonts w:ascii="Times New Roman" w:hAnsi="Times New Roman" w:cs="Times New Roman"/>
                <w:bCs/>
                <w:color w:val="000000" w:themeColor="text1"/>
                <w:sz w:val="28"/>
                <w:szCs w:val="28"/>
              </w:rPr>
            </w:pPr>
            <w:r w:rsidRPr="005301AC">
              <w:rPr>
                <w:rFonts w:ascii="Times New Roman" w:hAnsi="Times New Roman" w:cs="Times New Roman"/>
                <w:bCs/>
                <w:color w:val="000000" w:themeColor="text1"/>
                <w:sz w:val="28"/>
                <w:szCs w:val="28"/>
              </w:rPr>
              <w:t>……………</w:t>
            </w:r>
          </w:p>
        </w:tc>
        <w:tc>
          <w:tcPr>
            <w:tcW w:w="4474" w:type="dxa"/>
          </w:tcPr>
          <w:p w:rsidR="00B12698" w:rsidRPr="005301AC" w:rsidRDefault="00B12698" w:rsidP="00D17DDD">
            <w:pPr>
              <w:spacing w:line="360" w:lineRule="auto"/>
              <w:rPr>
                <w:rFonts w:ascii="Times New Roman" w:hAnsi="Times New Roman" w:cs="Times New Roman"/>
                <w:bCs/>
                <w:color w:val="000000" w:themeColor="text1"/>
                <w:sz w:val="28"/>
                <w:szCs w:val="28"/>
              </w:rPr>
            </w:pPr>
            <w:r w:rsidRPr="005301AC">
              <w:rPr>
                <w:rFonts w:ascii="Times New Roman" w:hAnsi="Times New Roman" w:cs="Times New Roman"/>
                <w:bCs/>
                <w:color w:val="000000" w:themeColor="text1"/>
                <w:sz w:val="28"/>
                <w:szCs w:val="28"/>
              </w:rPr>
              <w:t>Thụ lý, xử lý hồ sơ</w:t>
            </w:r>
          </w:p>
        </w:tc>
      </w:tr>
      <w:tr w:rsidR="00B12698" w:rsidRPr="005301AC" w:rsidTr="00B12698">
        <w:tc>
          <w:tcPr>
            <w:tcW w:w="891" w:type="dxa"/>
          </w:tcPr>
          <w:p w:rsidR="00B12698" w:rsidRPr="005301AC" w:rsidRDefault="00B12698" w:rsidP="00D17DDD">
            <w:pPr>
              <w:spacing w:line="360" w:lineRule="auto"/>
              <w:rPr>
                <w:rFonts w:ascii="Times New Roman" w:hAnsi="Times New Roman" w:cs="Times New Roman"/>
                <w:bCs/>
                <w:color w:val="000000" w:themeColor="text1"/>
                <w:sz w:val="28"/>
                <w:szCs w:val="28"/>
              </w:rPr>
            </w:pPr>
            <w:r w:rsidRPr="005301AC">
              <w:rPr>
                <w:rFonts w:ascii="Times New Roman" w:hAnsi="Times New Roman" w:cs="Times New Roman"/>
                <w:bCs/>
                <w:color w:val="000000" w:themeColor="text1"/>
                <w:sz w:val="28"/>
                <w:szCs w:val="28"/>
              </w:rPr>
              <w:t>…</w:t>
            </w:r>
          </w:p>
        </w:tc>
        <w:tc>
          <w:tcPr>
            <w:tcW w:w="2619" w:type="dxa"/>
          </w:tcPr>
          <w:p w:rsidR="00B12698" w:rsidRPr="005301AC" w:rsidRDefault="00B12698">
            <w:pPr>
              <w:rPr>
                <w:color w:val="000000" w:themeColor="text1"/>
              </w:rPr>
            </w:pPr>
            <w:r w:rsidRPr="005301AC">
              <w:rPr>
                <w:rFonts w:ascii="Times New Roman" w:hAnsi="Times New Roman" w:cs="Times New Roman"/>
                <w:bCs/>
                <w:color w:val="000000" w:themeColor="text1"/>
                <w:sz w:val="28"/>
                <w:szCs w:val="28"/>
              </w:rPr>
              <w:t>……………</w:t>
            </w:r>
          </w:p>
        </w:tc>
        <w:tc>
          <w:tcPr>
            <w:tcW w:w="2835" w:type="dxa"/>
          </w:tcPr>
          <w:p w:rsidR="00B12698" w:rsidRPr="005301AC" w:rsidRDefault="00B12698" w:rsidP="00D17DDD">
            <w:pPr>
              <w:spacing w:line="360" w:lineRule="auto"/>
              <w:rPr>
                <w:rFonts w:ascii="Times New Roman" w:hAnsi="Times New Roman" w:cs="Times New Roman"/>
                <w:bCs/>
                <w:color w:val="000000" w:themeColor="text1"/>
                <w:sz w:val="28"/>
                <w:szCs w:val="28"/>
              </w:rPr>
            </w:pPr>
            <w:r w:rsidRPr="005301AC">
              <w:rPr>
                <w:rFonts w:ascii="Times New Roman" w:hAnsi="Times New Roman" w:cs="Times New Roman"/>
                <w:bCs/>
                <w:color w:val="000000" w:themeColor="text1"/>
                <w:sz w:val="28"/>
                <w:szCs w:val="28"/>
              </w:rPr>
              <w:t>Cán bộ 1 cửa</w:t>
            </w:r>
          </w:p>
        </w:tc>
        <w:tc>
          <w:tcPr>
            <w:tcW w:w="3969" w:type="dxa"/>
          </w:tcPr>
          <w:p w:rsidR="00B12698" w:rsidRPr="005301AC" w:rsidRDefault="00A22D77" w:rsidP="00D17DDD">
            <w:pPr>
              <w:spacing w:line="360" w:lineRule="auto"/>
              <w:rPr>
                <w:rFonts w:ascii="Times New Roman" w:hAnsi="Times New Roman" w:cs="Times New Roman"/>
                <w:bCs/>
                <w:color w:val="000000" w:themeColor="text1"/>
                <w:sz w:val="28"/>
                <w:szCs w:val="28"/>
              </w:rPr>
            </w:pPr>
            <w:r w:rsidRPr="005301AC">
              <w:rPr>
                <w:rFonts w:ascii="Times New Roman" w:hAnsi="Times New Roman" w:cs="Times New Roman"/>
                <w:bCs/>
                <w:color w:val="000000" w:themeColor="text1"/>
                <w:sz w:val="28"/>
                <w:szCs w:val="28"/>
              </w:rPr>
              <w:t>……………</w:t>
            </w:r>
          </w:p>
        </w:tc>
        <w:tc>
          <w:tcPr>
            <w:tcW w:w="4474" w:type="dxa"/>
          </w:tcPr>
          <w:p w:rsidR="00B12698" w:rsidRPr="005301AC" w:rsidRDefault="00B12698" w:rsidP="00D17DDD">
            <w:pPr>
              <w:spacing w:line="360" w:lineRule="auto"/>
              <w:rPr>
                <w:rFonts w:ascii="Times New Roman" w:hAnsi="Times New Roman" w:cs="Times New Roman"/>
                <w:bCs/>
                <w:color w:val="000000" w:themeColor="text1"/>
                <w:sz w:val="28"/>
                <w:szCs w:val="28"/>
              </w:rPr>
            </w:pPr>
            <w:r w:rsidRPr="005301AC">
              <w:rPr>
                <w:rFonts w:ascii="Times New Roman" w:hAnsi="Times New Roman" w:cs="Times New Roman"/>
                <w:bCs/>
                <w:color w:val="000000" w:themeColor="text1"/>
                <w:sz w:val="28"/>
                <w:szCs w:val="28"/>
              </w:rPr>
              <w:t>Tiếp nhận, trả kết quả</w:t>
            </w:r>
          </w:p>
        </w:tc>
      </w:tr>
      <w:tr w:rsidR="00B12698" w:rsidRPr="005301AC" w:rsidTr="00B12698">
        <w:tc>
          <w:tcPr>
            <w:tcW w:w="891" w:type="dxa"/>
          </w:tcPr>
          <w:p w:rsidR="00B12698" w:rsidRPr="005301AC" w:rsidRDefault="00B12698" w:rsidP="00D17DDD">
            <w:pPr>
              <w:spacing w:line="360" w:lineRule="auto"/>
              <w:rPr>
                <w:rFonts w:ascii="Times New Roman" w:hAnsi="Times New Roman" w:cs="Times New Roman"/>
                <w:bCs/>
                <w:color w:val="000000" w:themeColor="text1"/>
                <w:sz w:val="28"/>
                <w:szCs w:val="28"/>
              </w:rPr>
            </w:pPr>
            <w:r w:rsidRPr="005301AC">
              <w:rPr>
                <w:rFonts w:ascii="Times New Roman" w:hAnsi="Times New Roman" w:cs="Times New Roman"/>
                <w:bCs/>
                <w:color w:val="000000" w:themeColor="text1"/>
                <w:sz w:val="28"/>
                <w:szCs w:val="28"/>
              </w:rPr>
              <w:t>…</w:t>
            </w:r>
          </w:p>
        </w:tc>
        <w:tc>
          <w:tcPr>
            <w:tcW w:w="2619" w:type="dxa"/>
          </w:tcPr>
          <w:p w:rsidR="00B12698" w:rsidRPr="005301AC" w:rsidRDefault="00B12698" w:rsidP="00D17DDD">
            <w:pPr>
              <w:spacing w:line="360" w:lineRule="auto"/>
              <w:rPr>
                <w:rFonts w:ascii="Times New Roman" w:hAnsi="Times New Roman" w:cs="Times New Roman"/>
                <w:bCs/>
                <w:color w:val="000000" w:themeColor="text1"/>
                <w:sz w:val="28"/>
                <w:szCs w:val="28"/>
              </w:rPr>
            </w:pPr>
          </w:p>
        </w:tc>
        <w:tc>
          <w:tcPr>
            <w:tcW w:w="2835" w:type="dxa"/>
          </w:tcPr>
          <w:p w:rsidR="00B12698" w:rsidRPr="005301AC" w:rsidRDefault="00B12698" w:rsidP="00D17DDD">
            <w:pPr>
              <w:spacing w:line="360" w:lineRule="auto"/>
              <w:rPr>
                <w:rFonts w:ascii="Times New Roman" w:hAnsi="Times New Roman" w:cs="Times New Roman"/>
                <w:bCs/>
                <w:color w:val="000000" w:themeColor="text1"/>
                <w:sz w:val="28"/>
                <w:szCs w:val="28"/>
              </w:rPr>
            </w:pPr>
          </w:p>
        </w:tc>
        <w:tc>
          <w:tcPr>
            <w:tcW w:w="3969" w:type="dxa"/>
          </w:tcPr>
          <w:p w:rsidR="00B12698" w:rsidRPr="005301AC" w:rsidRDefault="00B12698" w:rsidP="00D17DDD">
            <w:pPr>
              <w:spacing w:line="360" w:lineRule="auto"/>
              <w:rPr>
                <w:rFonts w:ascii="Times New Roman" w:hAnsi="Times New Roman" w:cs="Times New Roman"/>
                <w:bCs/>
                <w:color w:val="000000" w:themeColor="text1"/>
                <w:sz w:val="28"/>
                <w:szCs w:val="28"/>
              </w:rPr>
            </w:pPr>
          </w:p>
        </w:tc>
        <w:tc>
          <w:tcPr>
            <w:tcW w:w="4474" w:type="dxa"/>
          </w:tcPr>
          <w:p w:rsidR="00B12698" w:rsidRPr="005301AC" w:rsidRDefault="00B12698" w:rsidP="00D17DDD">
            <w:pPr>
              <w:spacing w:line="360" w:lineRule="auto"/>
              <w:rPr>
                <w:rFonts w:ascii="Times New Roman" w:hAnsi="Times New Roman" w:cs="Times New Roman"/>
                <w:bCs/>
                <w:color w:val="000000" w:themeColor="text1"/>
                <w:sz w:val="28"/>
                <w:szCs w:val="28"/>
              </w:rPr>
            </w:pPr>
          </w:p>
        </w:tc>
      </w:tr>
    </w:tbl>
    <w:p w:rsidR="00D17DDD" w:rsidRPr="005301AC" w:rsidRDefault="00D17DDD" w:rsidP="00D17DDD">
      <w:pPr>
        <w:rPr>
          <w:rFonts w:ascii="Times New Roman" w:hAnsi="Times New Roman" w:cs="Times New Roman"/>
          <w:bCs/>
          <w:i/>
          <w:color w:val="000000" w:themeColor="text1"/>
          <w:sz w:val="28"/>
          <w:szCs w:val="28"/>
        </w:rPr>
      </w:pPr>
    </w:p>
    <w:p w:rsidR="00B12698" w:rsidRPr="005301AC" w:rsidRDefault="00B12698">
      <w:pPr>
        <w:rPr>
          <w:rFonts w:ascii="Times New Roman" w:hAnsi="Times New Roman" w:cs="Times New Roman"/>
          <w:b/>
          <w:bCs/>
          <w:color w:val="000000" w:themeColor="text1"/>
          <w:sz w:val="28"/>
          <w:szCs w:val="28"/>
        </w:rPr>
      </w:pPr>
      <w:r w:rsidRPr="005301AC">
        <w:rPr>
          <w:rFonts w:ascii="Times New Roman" w:hAnsi="Times New Roman" w:cs="Times New Roman"/>
          <w:b/>
          <w:bCs/>
          <w:color w:val="000000" w:themeColor="text1"/>
          <w:sz w:val="28"/>
          <w:szCs w:val="28"/>
        </w:rPr>
        <w:br w:type="page"/>
      </w:r>
    </w:p>
    <w:p w:rsidR="00A22D77" w:rsidRPr="005301AC" w:rsidRDefault="00A22D77" w:rsidP="00A22D77">
      <w:pPr>
        <w:spacing w:after="0"/>
        <w:jc w:val="center"/>
        <w:rPr>
          <w:rFonts w:ascii="Times New Roman" w:hAnsi="Times New Roman" w:cs="Times New Roman"/>
          <w:b/>
          <w:bCs/>
          <w:color w:val="000000" w:themeColor="text1"/>
          <w:sz w:val="28"/>
          <w:szCs w:val="28"/>
        </w:rPr>
      </w:pPr>
      <w:r w:rsidRPr="005301AC">
        <w:rPr>
          <w:rFonts w:ascii="Times New Roman" w:hAnsi="Times New Roman" w:cs="Times New Roman"/>
          <w:b/>
          <w:bCs/>
          <w:color w:val="000000" w:themeColor="text1"/>
          <w:sz w:val="28"/>
          <w:szCs w:val="28"/>
        </w:rPr>
        <w:lastRenderedPageBreak/>
        <w:t>Mấu số 02</w:t>
      </w:r>
    </w:p>
    <w:p w:rsidR="00A22D77" w:rsidRPr="005301AC" w:rsidRDefault="00A22D77" w:rsidP="00A22D77">
      <w:pPr>
        <w:jc w:val="center"/>
        <w:rPr>
          <w:rFonts w:ascii="Times New Roman" w:hAnsi="Times New Roman" w:cs="Times New Roman"/>
          <w:bCs/>
          <w:i/>
          <w:color w:val="000000" w:themeColor="text1"/>
          <w:sz w:val="28"/>
          <w:szCs w:val="28"/>
        </w:rPr>
      </w:pPr>
      <w:r w:rsidRPr="005301AC">
        <w:rPr>
          <w:rFonts w:ascii="Times New Roman" w:hAnsi="Times New Roman" w:cs="Times New Roman"/>
          <w:bCs/>
          <w:i/>
          <w:color w:val="000000" w:themeColor="text1"/>
          <w:sz w:val="28"/>
          <w:szCs w:val="28"/>
        </w:rPr>
        <w:t>(Ban hành kèm theo Công văn số              /SYT-VP ngày      /     /2018 của Sở Y tế)</w:t>
      </w:r>
    </w:p>
    <w:p w:rsidR="007B4577" w:rsidRPr="005301AC" w:rsidRDefault="007B4577" w:rsidP="00D17DDD">
      <w:pPr>
        <w:spacing w:after="0"/>
        <w:jc w:val="right"/>
        <w:rPr>
          <w:rFonts w:ascii="Times New Roman" w:hAnsi="Times New Roman" w:cs="Times New Roman"/>
          <w:b/>
          <w:bCs/>
          <w:color w:val="000000" w:themeColor="text1"/>
          <w:sz w:val="26"/>
          <w:szCs w:val="26"/>
        </w:rPr>
      </w:pPr>
      <w:r w:rsidRPr="005301AC">
        <w:rPr>
          <w:rFonts w:ascii="Times New Roman" w:hAnsi="Times New Roman" w:cs="Times New Roman"/>
          <w:b/>
          <w:bCs/>
          <w:color w:val="000000" w:themeColor="text1"/>
          <w:sz w:val="26"/>
          <w:szCs w:val="26"/>
        </w:rPr>
        <w:t>Quy trình số: ….</w:t>
      </w:r>
    </w:p>
    <w:p w:rsidR="007B4577" w:rsidRPr="005301AC" w:rsidRDefault="007B4577" w:rsidP="00D17DDD">
      <w:pPr>
        <w:spacing w:after="0"/>
        <w:jc w:val="center"/>
        <w:rPr>
          <w:rFonts w:ascii="Times New Roman" w:hAnsi="Times New Roman" w:cs="Times New Roman"/>
          <w:b/>
          <w:bCs/>
          <w:color w:val="000000" w:themeColor="text1"/>
          <w:spacing w:val="-2"/>
          <w:sz w:val="26"/>
          <w:szCs w:val="26"/>
        </w:rPr>
      </w:pPr>
      <w:r w:rsidRPr="005301AC">
        <w:rPr>
          <w:rFonts w:ascii="Times New Roman" w:hAnsi="Times New Roman" w:cs="Times New Roman"/>
          <w:b/>
          <w:color w:val="000000" w:themeColor="text1"/>
          <w:sz w:val="26"/>
          <w:szCs w:val="26"/>
        </w:rPr>
        <w:t xml:space="preserve">MẪU </w:t>
      </w:r>
      <w:r w:rsidRPr="005301AC">
        <w:rPr>
          <w:rFonts w:ascii="Times New Roman" w:hAnsi="Times New Roman" w:cs="Times New Roman"/>
          <w:b/>
          <w:bCs/>
          <w:color w:val="000000" w:themeColor="text1"/>
          <w:sz w:val="26"/>
          <w:szCs w:val="26"/>
        </w:rPr>
        <w:t xml:space="preserve">QUY TRÌNH </w:t>
      </w:r>
      <w:r w:rsidRPr="005301AC">
        <w:rPr>
          <w:rFonts w:ascii="Times New Roman" w:hAnsi="Times New Roman" w:cs="Times New Roman"/>
          <w:b/>
          <w:bCs/>
          <w:color w:val="000000" w:themeColor="text1"/>
          <w:spacing w:val="-2"/>
          <w:sz w:val="26"/>
          <w:szCs w:val="26"/>
        </w:rPr>
        <w:t xml:space="preserve">NỘI BỘ TRONG GIẢI QUYẾT THỦ TỤC ………. </w:t>
      </w:r>
      <w:r w:rsidRPr="005301AC">
        <w:rPr>
          <w:rFonts w:ascii="Times New Roman" w:hAnsi="Times New Roman" w:cs="Times New Roman"/>
          <w:bCs/>
          <w:i/>
          <w:color w:val="000000" w:themeColor="text1"/>
          <w:spacing w:val="-2"/>
          <w:sz w:val="26"/>
          <w:szCs w:val="26"/>
        </w:rPr>
        <w:t>(ghi tên cụ thể của TTHC)</w:t>
      </w:r>
      <w:r w:rsidRPr="005301AC">
        <w:rPr>
          <w:rFonts w:ascii="Times New Roman" w:hAnsi="Times New Roman" w:cs="Times New Roman"/>
          <w:b/>
          <w:bCs/>
          <w:color w:val="000000" w:themeColor="text1"/>
          <w:spacing w:val="-2"/>
          <w:sz w:val="26"/>
          <w:szCs w:val="26"/>
        </w:rPr>
        <w:t xml:space="preserve"> …………</w:t>
      </w:r>
    </w:p>
    <w:p w:rsidR="007B4577" w:rsidRPr="005301AC" w:rsidRDefault="007B4577" w:rsidP="00D17DDD">
      <w:pPr>
        <w:spacing w:after="0"/>
        <w:jc w:val="center"/>
        <w:rPr>
          <w:rFonts w:ascii="Times New Roman" w:hAnsi="Times New Roman" w:cs="Times New Roman"/>
          <w:color w:val="000000" w:themeColor="text1"/>
          <w:sz w:val="26"/>
          <w:szCs w:val="26"/>
        </w:rPr>
      </w:pPr>
      <w:r w:rsidRPr="005301AC">
        <w:rPr>
          <w:rFonts w:ascii="Times New Roman" w:hAnsi="Times New Roman" w:cs="Times New Roman"/>
          <w:b/>
          <w:bCs/>
          <w:color w:val="000000" w:themeColor="text1"/>
          <w:spacing w:val="-2"/>
          <w:sz w:val="26"/>
          <w:szCs w:val="26"/>
        </w:rPr>
        <w:t xml:space="preserve">ÁP DỤNG CHUNG TẠI CƠ QUAN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10589"/>
        <w:gridCol w:w="2905"/>
      </w:tblGrid>
      <w:tr w:rsidR="007B4577" w:rsidRPr="005301AC" w:rsidTr="00A22D77">
        <w:tc>
          <w:tcPr>
            <w:tcW w:w="1294" w:type="dxa"/>
            <w:shd w:val="clear" w:color="auto" w:fill="auto"/>
          </w:tcPr>
          <w:p w:rsidR="007B4577" w:rsidRPr="005301AC" w:rsidRDefault="007B4577" w:rsidP="00D17DDD">
            <w:pPr>
              <w:spacing w:after="0"/>
              <w:ind w:left="-120" w:right="-108"/>
              <w:jc w:val="center"/>
              <w:rPr>
                <w:rFonts w:ascii="Times New Roman" w:hAnsi="Times New Roman" w:cs="Times New Roman"/>
                <w:b/>
                <w:color w:val="000000" w:themeColor="text1"/>
                <w:sz w:val="26"/>
                <w:szCs w:val="26"/>
              </w:rPr>
            </w:pPr>
            <w:r w:rsidRPr="005301AC">
              <w:rPr>
                <w:rFonts w:ascii="Times New Roman" w:hAnsi="Times New Roman" w:cs="Times New Roman"/>
                <w:b/>
                <w:color w:val="000000" w:themeColor="text1"/>
                <w:sz w:val="26"/>
                <w:szCs w:val="26"/>
              </w:rPr>
              <w:t>Thứ tự      công việc</w:t>
            </w:r>
          </w:p>
        </w:tc>
        <w:tc>
          <w:tcPr>
            <w:tcW w:w="10589" w:type="dxa"/>
            <w:shd w:val="clear" w:color="auto" w:fill="auto"/>
          </w:tcPr>
          <w:p w:rsidR="007B4577" w:rsidRPr="005301AC" w:rsidRDefault="007B4577" w:rsidP="00D17DDD">
            <w:pPr>
              <w:spacing w:after="0"/>
              <w:jc w:val="center"/>
              <w:rPr>
                <w:rFonts w:ascii="Times New Roman" w:hAnsi="Times New Roman" w:cs="Times New Roman"/>
                <w:b/>
                <w:color w:val="000000" w:themeColor="text1"/>
                <w:sz w:val="26"/>
                <w:szCs w:val="26"/>
              </w:rPr>
            </w:pPr>
            <w:r w:rsidRPr="005301AC">
              <w:rPr>
                <w:rFonts w:ascii="Times New Roman" w:hAnsi="Times New Roman" w:cs="Times New Roman"/>
                <w:b/>
                <w:color w:val="000000" w:themeColor="text1"/>
                <w:sz w:val="26"/>
                <w:szCs w:val="26"/>
              </w:rPr>
              <w:t xml:space="preserve">Chức danh, vị trí, nội dung công việc  </w:t>
            </w:r>
            <w:r w:rsidRPr="005301AC">
              <w:rPr>
                <w:rFonts w:ascii="Times New Roman" w:hAnsi="Times New Roman" w:cs="Times New Roman"/>
                <w:b/>
                <w:color w:val="000000" w:themeColor="text1"/>
                <w:sz w:val="26"/>
                <w:szCs w:val="26"/>
                <w:vertAlign w:val="superscript"/>
              </w:rPr>
              <w:t>(</w:t>
            </w:r>
            <w:r w:rsidRPr="005301AC">
              <w:rPr>
                <w:rStyle w:val="FootnoteReference"/>
                <w:rFonts w:ascii="Times New Roman" w:hAnsi="Times New Roman" w:cs="Times New Roman"/>
                <w:b/>
                <w:color w:val="000000" w:themeColor="text1"/>
                <w:sz w:val="26"/>
                <w:szCs w:val="26"/>
              </w:rPr>
              <w:footnoteReference w:customMarkFollows="1" w:id="1"/>
              <w:sym w:font="Symbol" w:char="F02A"/>
            </w:r>
            <w:r w:rsidRPr="005301AC">
              <w:rPr>
                <w:rFonts w:ascii="Times New Roman" w:hAnsi="Times New Roman" w:cs="Times New Roman"/>
                <w:b/>
                <w:color w:val="000000" w:themeColor="text1"/>
                <w:sz w:val="26"/>
                <w:szCs w:val="26"/>
                <w:vertAlign w:val="superscript"/>
              </w:rPr>
              <w:t>)</w:t>
            </w:r>
            <w:r w:rsidRPr="005301AC">
              <w:rPr>
                <w:rFonts w:ascii="Times New Roman" w:hAnsi="Times New Roman" w:cs="Times New Roman"/>
                <w:b/>
                <w:color w:val="000000" w:themeColor="text1"/>
                <w:sz w:val="26"/>
                <w:szCs w:val="26"/>
              </w:rPr>
              <w:t xml:space="preserve"> </w:t>
            </w:r>
          </w:p>
        </w:tc>
        <w:tc>
          <w:tcPr>
            <w:tcW w:w="2905" w:type="dxa"/>
            <w:shd w:val="clear" w:color="auto" w:fill="auto"/>
          </w:tcPr>
          <w:p w:rsidR="007B4577" w:rsidRPr="005301AC" w:rsidRDefault="007B4577" w:rsidP="00D17DDD">
            <w:pPr>
              <w:spacing w:after="0"/>
              <w:jc w:val="center"/>
              <w:rPr>
                <w:rFonts w:ascii="Times New Roman" w:hAnsi="Times New Roman" w:cs="Times New Roman"/>
                <w:b/>
                <w:color w:val="000000" w:themeColor="text1"/>
                <w:sz w:val="26"/>
                <w:szCs w:val="26"/>
              </w:rPr>
            </w:pPr>
            <w:r w:rsidRPr="005301AC">
              <w:rPr>
                <w:rFonts w:ascii="Times New Roman" w:hAnsi="Times New Roman" w:cs="Times New Roman"/>
                <w:b/>
                <w:color w:val="000000" w:themeColor="text1"/>
                <w:sz w:val="26"/>
                <w:szCs w:val="26"/>
              </w:rPr>
              <w:t>Thời gian thực hiện</w:t>
            </w:r>
          </w:p>
        </w:tc>
      </w:tr>
      <w:tr w:rsidR="007B4577" w:rsidRPr="005301AC" w:rsidTr="00A22D77">
        <w:tc>
          <w:tcPr>
            <w:tcW w:w="1294" w:type="dxa"/>
            <w:shd w:val="clear" w:color="auto" w:fill="auto"/>
          </w:tcPr>
          <w:p w:rsidR="007B4577" w:rsidRPr="005301AC" w:rsidRDefault="007B4577" w:rsidP="00D17DDD">
            <w:pPr>
              <w:spacing w:after="0"/>
              <w:jc w:val="center"/>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Bước 1</w:t>
            </w:r>
          </w:p>
        </w:tc>
        <w:tc>
          <w:tcPr>
            <w:tcW w:w="10589" w:type="dxa"/>
            <w:shd w:val="clear" w:color="auto" w:fill="auto"/>
          </w:tcPr>
          <w:p w:rsidR="007B4577" w:rsidRPr="005301AC" w:rsidRDefault="007B4577" w:rsidP="00D17DDD">
            <w:pPr>
              <w:spacing w:after="0"/>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Ví dụ: Công chức, viên chức tại Bộ phận một cửa của...... kiểm tra, hướng dẫn, tiếp nhận hồ sơ, quét (scan) và lưu trữ hồ sơ điện tử, chuyển bộ phận chuyên môn xử lý hồ sơ.</w:t>
            </w:r>
          </w:p>
        </w:tc>
        <w:tc>
          <w:tcPr>
            <w:tcW w:w="2905" w:type="dxa"/>
            <w:shd w:val="clear" w:color="auto" w:fill="auto"/>
          </w:tcPr>
          <w:p w:rsidR="007B4577" w:rsidRPr="005301AC" w:rsidRDefault="007B4577" w:rsidP="00D17DDD">
            <w:pPr>
              <w:spacing w:after="0"/>
              <w:jc w:val="center"/>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 giờ làm việc</w:t>
            </w:r>
          </w:p>
        </w:tc>
      </w:tr>
      <w:tr w:rsidR="007B4577" w:rsidRPr="005301AC" w:rsidTr="00A22D77">
        <w:tc>
          <w:tcPr>
            <w:tcW w:w="1294" w:type="dxa"/>
            <w:shd w:val="clear" w:color="auto" w:fill="auto"/>
          </w:tcPr>
          <w:p w:rsidR="007B4577" w:rsidRPr="005301AC" w:rsidRDefault="007B4577" w:rsidP="00D17DDD">
            <w:pPr>
              <w:spacing w:after="0"/>
              <w:jc w:val="center"/>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Bước 2</w:t>
            </w:r>
          </w:p>
        </w:tc>
        <w:tc>
          <w:tcPr>
            <w:tcW w:w="10589" w:type="dxa"/>
            <w:shd w:val="clear" w:color="auto" w:fill="auto"/>
          </w:tcPr>
          <w:p w:rsidR="007B4577" w:rsidRPr="005301AC" w:rsidRDefault="007B4577" w:rsidP="00D17DDD">
            <w:pPr>
              <w:spacing w:after="0"/>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Ví dụ: CCVC bộ phận chuyên môn xem xét, thẩm tra, xử lý hồ sơ.</w:t>
            </w:r>
          </w:p>
        </w:tc>
        <w:tc>
          <w:tcPr>
            <w:tcW w:w="2905" w:type="dxa"/>
            <w:shd w:val="clear" w:color="auto" w:fill="auto"/>
          </w:tcPr>
          <w:p w:rsidR="007B4577" w:rsidRPr="005301AC" w:rsidRDefault="007B4577" w:rsidP="00D17DDD">
            <w:pPr>
              <w:spacing w:after="0"/>
              <w:jc w:val="center"/>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 ngày làm việc</w:t>
            </w:r>
          </w:p>
        </w:tc>
      </w:tr>
      <w:tr w:rsidR="007B4577" w:rsidRPr="005301AC" w:rsidTr="00A22D77">
        <w:tc>
          <w:tcPr>
            <w:tcW w:w="1294" w:type="dxa"/>
            <w:shd w:val="clear" w:color="auto" w:fill="auto"/>
          </w:tcPr>
          <w:p w:rsidR="007B4577" w:rsidRPr="005301AC" w:rsidRDefault="007B4577" w:rsidP="00D17DDD">
            <w:pPr>
              <w:spacing w:after="0"/>
              <w:jc w:val="center"/>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Bước…</w:t>
            </w:r>
          </w:p>
        </w:tc>
        <w:tc>
          <w:tcPr>
            <w:tcW w:w="10589" w:type="dxa"/>
            <w:shd w:val="clear" w:color="auto" w:fill="auto"/>
          </w:tcPr>
          <w:p w:rsidR="007B4577" w:rsidRPr="005301AC" w:rsidRDefault="007B4577" w:rsidP="00D17DDD">
            <w:pPr>
              <w:spacing w:after="0"/>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w:t>
            </w:r>
          </w:p>
        </w:tc>
        <w:tc>
          <w:tcPr>
            <w:tcW w:w="2905" w:type="dxa"/>
            <w:shd w:val="clear" w:color="auto" w:fill="auto"/>
          </w:tcPr>
          <w:p w:rsidR="007B4577" w:rsidRPr="005301AC" w:rsidRDefault="007B4577" w:rsidP="00D17DDD">
            <w:pPr>
              <w:spacing w:after="0"/>
              <w:jc w:val="center"/>
              <w:rPr>
                <w:rFonts w:ascii="Times New Roman" w:hAnsi="Times New Roman" w:cs="Times New Roman"/>
                <w:color w:val="000000" w:themeColor="text1"/>
                <w:sz w:val="26"/>
                <w:szCs w:val="26"/>
              </w:rPr>
            </w:pPr>
          </w:p>
        </w:tc>
      </w:tr>
      <w:tr w:rsidR="007B4577" w:rsidRPr="005301AC" w:rsidTr="00A22D77">
        <w:tc>
          <w:tcPr>
            <w:tcW w:w="1294" w:type="dxa"/>
            <w:shd w:val="clear" w:color="auto" w:fill="auto"/>
          </w:tcPr>
          <w:p w:rsidR="007B4577" w:rsidRPr="005301AC" w:rsidRDefault="007B4577" w:rsidP="00D17DDD">
            <w:pPr>
              <w:spacing w:after="0"/>
              <w:jc w:val="center"/>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Bước…</w:t>
            </w:r>
          </w:p>
        </w:tc>
        <w:tc>
          <w:tcPr>
            <w:tcW w:w="10589" w:type="dxa"/>
            <w:shd w:val="clear" w:color="auto" w:fill="auto"/>
          </w:tcPr>
          <w:p w:rsidR="007B4577" w:rsidRPr="005301AC" w:rsidRDefault="007B4577" w:rsidP="00D17DDD">
            <w:pPr>
              <w:spacing w:after="0"/>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Ví dụ: Lãnh đạo Phòng chuyên môn thẩm định hồ sơ, trình phê duyệt kết quả TTHC.</w:t>
            </w:r>
          </w:p>
        </w:tc>
        <w:tc>
          <w:tcPr>
            <w:tcW w:w="2905" w:type="dxa"/>
            <w:shd w:val="clear" w:color="auto" w:fill="auto"/>
          </w:tcPr>
          <w:p w:rsidR="007B4577" w:rsidRPr="005301AC" w:rsidRDefault="007B4577" w:rsidP="00D17DDD">
            <w:pPr>
              <w:spacing w:after="0"/>
              <w:jc w:val="center"/>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 ngày làm việc</w:t>
            </w:r>
          </w:p>
        </w:tc>
      </w:tr>
      <w:tr w:rsidR="007B4577" w:rsidRPr="005301AC" w:rsidTr="00A22D77">
        <w:tc>
          <w:tcPr>
            <w:tcW w:w="1294" w:type="dxa"/>
            <w:shd w:val="clear" w:color="auto" w:fill="auto"/>
          </w:tcPr>
          <w:p w:rsidR="007B4577" w:rsidRPr="005301AC" w:rsidRDefault="007B4577" w:rsidP="00D17DDD">
            <w:pPr>
              <w:spacing w:after="0"/>
              <w:jc w:val="center"/>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Bước…</w:t>
            </w:r>
          </w:p>
        </w:tc>
        <w:tc>
          <w:tcPr>
            <w:tcW w:w="10589" w:type="dxa"/>
            <w:shd w:val="clear" w:color="auto" w:fill="auto"/>
          </w:tcPr>
          <w:p w:rsidR="007B4577" w:rsidRPr="005301AC" w:rsidRDefault="007B4577" w:rsidP="00D17DDD">
            <w:pPr>
              <w:spacing w:after="0"/>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Ví dụ: Lãnh đạo cơ quan ký phê duyệt kết quả TTHC.</w:t>
            </w:r>
          </w:p>
        </w:tc>
        <w:tc>
          <w:tcPr>
            <w:tcW w:w="2905" w:type="dxa"/>
            <w:shd w:val="clear" w:color="auto" w:fill="auto"/>
          </w:tcPr>
          <w:p w:rsidR="007B4577" w:rsidRPr="005301AC" w:rsidRDefault="007B4577" w:rsidP="00D17DDD">
            <w:pPr>
              <w:spacing w:after="0"/>
              <w:jc w:val="center"/>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 ngày làm việc</w:t>
            </w:r>
          </w:p>
        </w:tc>
      </w:tr>
      <w:tr w:rsidR="007B4577" w:rsidRPr="005301AC" w:rsidTr="00A22D77">
        <w:tc>
          <w:tcPr>
            <w:tcW w:w="1294" w:type="dxa"/>
            <w:shd w:val="clear" w:color="auto" w:fill="auto"/>
          </w:tcPr>
          <w:p w:rsidR="007B4577" w:rsidRPr="005301AC" w:rsidRDefault="007B4577" w:rsidP="00D17DDD">
            <w:pPr>
              <w:spacing w:after="0"/>
              <w:jc w:val="center"/>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Bước…</w:t>
            </w:r>
          </w:p>
        </w:tc>
        <w:tc>
          <w:tcPr>
            <w:tcW w:w="10589" w:type="dxa"/>
            <w:shd w:val="clear" w:color="auto" w:fill="auto"/>
          </w:tcPr>
          <w:p w:rsidR="007B4577" w:rsidRPr="005301AC" w:rsidRDefault="007B4577" w:rsidP="00D17DDD">
            <w:pPr>
              <w:spacing w:after="0"/>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Ví dụ: CCVC bộ phận chuyên môn vào số văn bản, lưu trữ hồ sơ, chuyển kết quả cho Bộ phận một cửa.</w:t>
            </w:r>
          </w:p>
        </w:tc>
        <w:tc>
          <w:tcPr>
            <w:tcW w:w="2905" w:type="dxa"/>
            <w:shd w:val="clear" w:color="auto" w:fill="auto"/>
          </w:tcPr>
          <w:p w:rsidR="007B4577" w:rsidRPr="005301AC" w:rsidRDefault="007B4577" w:rsidP="00D17DDD">
            <w:pPr>
              <w:spacing w:after="0"/>
              <w:jc w:val="center"/>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 buổi làm việc</w:t>
            </w:r>
          </w:p>
        </w:tc>
      </w:tr>
      <w:tr w:rsidR="007B4577" w:rsidRPr="005301AC" w:rsidTr="00A22D77">
        <w:tc>
          <w:tcPr>
            <w:tcW w:w="1294" w:type="dxa"/>
            <w:shd w:val="clear" w:color="auto" w:fill="auto"/>
          </w:tcPr>
          <w:p w:rsidR="007B4577" w:rsidRPr="005301AC" w:rsidRDefault="007B4577" w:rsidP="00D17DDD">
            <w:pPr>
              <w:spacing w:after="0"/>
              <w:jc w:val="center"/>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Bước…</w:t>
            </w:r>
          </w:p>
        </w:tc>
        <w:tc>
          <w:tcPr>
            <w:tcW w:w="10589" w:type="dxa"/>
            <w:shd w:val="clear" w:color="auto" w:fill="auto"/>
          </w:tcPr>
          <w:p w:rsidR="007B4577" w:rsidRPr="005301AC" w:rsidRDefault="007B4577" w:rsidP="00D17DDD">
            <w:pPr>
              <w:spacing w:after="0"/>
              <w:jc w:val="both"/>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Ví dụ: CCVC tại Bộ phận một cửa xác nhận trên phần mềm một cửa thông tin về kết quả đã có tại Bộ phận một cửa; thông báo cho cá nhân, tổ chức đến nhận trả kết quả TTHC và thu phí, lệ phí (nếu có).</w:t>
            </w:r>
          </w:p>
        </w:tc>
        <w:tc>
          <w:tcPr>
            <w:tcW w:w="2905" w:type="dxa"/>
            <w:shd w:val="clear" w:color="auto" w:fill="auto"/>
          </w:tcPr>
          <w:p w:rsidR="007B4577" w:rsidRPr="005301AC" w:rsidRDefault="007B4577" w:rsidP="00D17DDD">
            <w:pPr>
              <w:spacing w:after="0"/>
              <w:jc w:val="center"/>
              <w:rPr>
                <w:rFonts w:ascii="Times New Roman" w:hAnsi="Times New Roman" w:cs="Times New Roman"/>
                <w:color w:val="000000" w:themeColor="text1"/>
                <w:sz w:val="26"/>
                <w:szCs w:val="26"/>
              </w:rPr>
            </w:pPr>
            <w:r w:rsidRPr="005301AC">
              <w:rPr>
                <w:rFonts w:ascii="Times New Roman" w:hAnsi="Times New Roman" w:cs="Times New Roman"/>
                <w:color w:val="000000" w:themeColor="text1"/>
                <w:sz w:val="26"/>
                <w:szCs w:val="26"/>
              </w:rPr>
              <w:t>... giờ làm việc</w:t>
            </w:r>
          </w:p>
        </w:tc>
      </w:tr>
      <w:tr w:rsidR="007B4577" w:rsidRPr="005301AC" w:rsidTr="00A22D77">
        <w:tc>
          <w:tcPr>
            <w:tcW w:w="11883" w:type="dxa"/>
            <w:gridSpan w:val="2"/>
            <w:shd w:val="clear" w:color="auto" w:fill="auto"/>
          </w:tcPr>
          <w:p w:rsidR="007B4577" w:rsidRPr="005301AC" w:rsidRDefault="007B4577" w:rsidP="00D17DDD">
            <w:pPr>
              <w:spacing w:after="0"/>
              <w:jc w:val="center"/>
              <w:rPr>
                <w:rFonts w:ascii="Times New Roman" w:hAnsi="Times New Roman" w:cs="Times New Roman"/>
                <w:b/>
                <w:color w:val="000000" w:themeColor="text1"/>
                <w:sz w:val="26"/>
                <w:szCs w:val="26"/>
              </w:rPr>
            </w:pPr>
            <w:r w:rsidRPr="005301AC">
              <w:rPr>
                <w:rFonts w:ascii="Times New Roman" w:hAnsi="Times New Roman" w:cs="Times New Roman"/>
                <w:b/>
                <w:color w:val="000000" w:themeColor="text1"/>
                <w:sz w:val="26"/>
                <w:szCs w:val="26"/>
              </w:rPr>
              <w:t>Tổng thời gian giải quyết TTHC</w:t>
            </w:r>
          </w:p>
        </w:tc>
        <w:tc>
          <w:tcPr>
            <w:tcW w:w="2905" w:type="dxa"/>
            <w:shd w:val="clear" w:color="auto" w:fill="auto"/>
          </w:tcPr>
          <w:p w:rsidR="007B4577" w:rsidRPr="005301AC" w:rsidRDefault="007B4577" w:rsidP="00D17DDD">
            <w:pPr>
              <w:spacing w:after="0"/>
              <w:jc w:val="center"/>
              <w:rPr>
                <w:rFonts w:ascii="Times New Roman" w:hAnsi="Times New Roman" w:cs="Times New Roman"/>
                <w:b/>
                <w:color w:val="000000" w:themeColor="text1"/>
                <w:sz w:val="26"/>
                <w:szCs w:val="26"/>
              </w:rPr>
            </w:pPr>
            <w:r w:rsidRPr="005301AC">
              <w:rPr>
                <w:rFonts w:ascii="Times New Roman" w:hAnsi="Times New Roman" w:cs="Times New Roman"/>
                <w:b/>
                <w:color w:val="000000" w:themeColor="text1"/>
                <w:sz w:val="26"/>
                <w:szCs w:val="26"/>
              </w:rPr>
              <w:t xml:space="preserve">…..ngày làm việc </w:t>
            </w:r>
          </w:p>
        </w:tc>
      </w:tr>
    </w:tbl>
    <w:p w:rsidR="00D17DDD" w:rsidRPr="005301AC" w:rsidRDefault="00D17DDD" w:rsidP="00D17DDD">
      <w:pPr>
        <w:spacing w:after="0"/>
        <w:rPr>
          <w:rFonts w:ascii="Times New Roman" w:hAnsi="Times New Roman" w:cs="Times New Roman"/>
          <w:b/>
          <w:bCs/>
          <w:color w:val="000000" w:themeColor="text1"/>
          <w:sz w:val="28"/>
          <w:szCs w:val="28"/>
        </w:rPr>
      </w:pPr>
    </w:p>
    <w:p w:rsidR="00927F6D" w:rsidRPr="005301AC" w:rsidRDefault="00D17DDD" w:rsidP="00D17DDD">
      <w:pPr>
        <w:pStyle w:val="FootnoteText"/>
        <w:jc w:val="both"/>
        <w:rPr>
          <w:i/>
          <w:color w:val="000000" w:themeColor="text1"/>
          <w:spacing w:val="-2"/>
          <w:sz w:val="26"/>
          <w:szCs w:val="26"/>
        </w:rPr>
      </w:pPr>
      <w:r w:rsidRPr="005301AC">
        <w:rPr>
          <w:b/>
          <w:color w:val="000000" w:themeColor="text1"/>
          <w:sz w:val="36"/>
          <w:szCs w:val="36"/>
          <w:vertAlign w:val="superscript"/>
        </w:rPr>
        <w:t>(</w:t>
      </w:r>
      <w:r w:rsidRPr="005301AC">
        <w:rPr>
          <w:rStyle w:val="FootnoteReference"/>
          <w:b/>
          <w:color w:val="000000" w:themeColor="text1"/>
          <w:sz w:val="36"/>
          <w:szCs w:val="36"/>
        </w:rPr>
        <w:sym w:font="Symbol" w:char="F02A"/>
      </w:r>
      <w:r w:rsidRPr="005301AC">
        <w:rPr>
          <w:b/>
          <w:color w:val="000000" w:themeColor="text1"/>
          <w:sz w:val="36"/>
          <w:szCs w:val="36"/>
          <w:vertAlign w:val="superscript"/>
        </w:rPr>
        <w:t>)</w:t>
      </w:r>
      <w:r w:rsidRPr="005301AC">
        <w:rPr>
          <w:color w:val="000000" w:themeColor="text1"/>
        </w:rPr>
        <w:t xml:space="preserve"> </w:t>
      </w:r>
      <w:r w:rsidRPr="005301AC">
        <w:rPr>
          <w:b/>
          <w:i/>
          <w:color w:val="000000" w:themeColor="text1"/>
          <w:sz w:val="26"/>
          <w:szCs w:val="26"/>
        </w:rPr>
        <w:t xml:space="preserve">Lưu ý: </w:t>
      </w:r>
      <w:r w:rsidRPr="005301AC">
        <w:rPr>
          <w:i/>
          <w:color w:val="000000" w:themeColor="text1"/>
          <w:sz w:val="26"/>
          <w:szCs w:val="26"/>
        </w:rPr>
        <w:t xml:space="preserve">- </w:t>
      </w:r>
      <w:r w:rsidRPr="005301AC">
        <w:rPr>
          <w:i/>
          <w:color w:val="000000" w:themeColor="text1"/>
          <w:spacing w:val="-2"/>
          <w:sz w:val="26"/>
          <w:szCs w:val="26"/>
        </w:rPr>
        <w:t>Ghi vị trí công việc theo quy trình hướng dẫn tại Nghị định số 61/2018/NĐ-CP. Không ghi họ tên người được phân công thực hiện.</w:t>
      </w:r>
    </w:p>
    <w:p w:rsidR="00927F6D" w:rsidRPr="005301AC" w:rsidRDefault="00927F6D">
      <w:pPr>
        <w:rPr>
          <w:rFonts w:ascii="Times New Roman" w:eastAsia="Times New Roman" w:hAnsi="Times New Roman" w:cs="Times New Roman"/>
          <w:i/>
          <w:color w:val="000000" w:themeColor="text1"/>
          <w:spacing w:val="-2"/>
          <w:sz w:val="26"/>
          <w:szCs w:val="26"/>
        </w:rPr>
      </w:pPr>
      <w:r w:rsidRPr="005301AC">
        <w:rPr>
          <w:i/>
          <w:color w:val="000000" w:themeColor="text1"/>
          <w:spacing w:val="-2"/>
          <w:sz w:val="26"/>
          <w:szCs w:val="26"/>
        </w:rPr>
        <w:br w:type="page"/>
      </w:r>
    </w:p>
    <w:p w:rsidR="00D17DDD" w:rsidRPr="005301AC" w:rsidRDefault="00927F6D" w:rsidP="00927F6D">
      <w:pPr>
        <w:pStyle w:val="FootnoteText"/>
        <w:jc w:val="center"/>
        <w:rPr>
          <w:b/>
          <w:color w:val="000000" w:themeColor="text1"/>
          <w:sz w:val="28"/>
          <w:szCs w:val="28"/>
        </w:rPr>
      </w:pPr>
      <w:r w:rsidRPr="005301AC">
        <w:rPr>
          <w:b/>
          <w:color w:val="000000" w:themeColor="text1"/>
          <w:sz w:val="28"/>
          <w:szCs w:val="28"/>
        </w:rPr>
        <w:lastRenderedPageBreak/>
        <w:t>Phụ lục 1</w:t>
      </w:r>
    </w:p>
    <w:p w:rsidR="00927F6D" w:rsidRPr="005301AC" w:rsidRDefault="00927F6D" w:rsidP="00927F6D">
      <w:pPr>
        <w:pStyle w:val="FootnoteText"/>
        <w:jc w:val="center"/>
        <w:rPr>
          <w:i/>
          <w:color w:val="000000" w:themeColor="text1"/>
          <w:sz w:val="28"/>
          <w:szCs w:val="28"/>
        </w:rPr>
      </w:pPr>
      <w:r w:rsidRPr="005301AC">
        <w:rPr>
          <w:i/>
          <w:color w:val="000000" w:themeColor="text1"/>
          <w:sz w:val="28"/>
          <w:szCs w:val="28"/>
        </w:rPr>
        <w:t>(Ban hành kèm theo Công văn số           /SYT-VP ngày      /      /2018)</w:t>
      </w:r>
    </w:p>
    <w:p w:rsidR="00927F6D" w:rsidRPr="005301AC" w:rsidRDefault="00972BBD" w:rsidP="00D17DDD">
      <w:pPr>
        <w:pStyle w:val="FootnoteText"/>
        <w:jc w:val="both"/>
        <w:rPr>
          <w:color w:val="000000" w:themeColor="text1"/>
          <w:sz w:val="28"/>
          <w:szCs w:val="28"/>
        </w:rPr>
      </w:pPr>
      <w:r>
        <w:rPr>
          <w:noProof/>
          <w:color w:val="000000" w:themeColor="text1"/>
          <w:sz w:val="28"/>
          <w:szCs w:val="28"/>
        </w:rPr>
        <w:pict>
          <v:shape id="_x0000_s1028" type="#_x0000_t32" style="position:absolute;left:0;text-align:left;margin-left:292.05pt;margin-top:3.6pt;width:150.25pt;height:0;z-index:251662336" o:connectortype="straight"/>
        </w:pict>
      </w:r>
    </w:p>
    <w:tbl>
      <w:tblPr>
        <w:tblStyle w:val="TableGrid"/>
        <w:tblW w:w="0" w:type="auto"/>
        <w:tblLook w:val="04A0" w:firstRow="1" w:lastRow="0" w:firstColumn="1" w:lastColumn="0" w:noHBand="0" w:noVBand="1"/>
      </w:tblPr>
      <w:tblGrid>
        <w:gridCol w:w="1242"/>
        <w:gridCol w:w="12333"/>
        <w:gridCol w:w="1134"/>
      </w:tblGrid>
      <w:tr w:rsidR="00695391" w:rsidRPr="000F0E7B" w:rsidTr="005301AC">
        <w:tc>
          <w:tcPr>
            <w:tcW w:w="1242" w:type="dxa"/>
            <w:vAlign w:val="center"/>
          </w:tcPr>
          <w:p w:rsidR="00695391" w:rsidRPr="000F0E7B" w:rsidRDefault="00695391" w:rsidP="00695391">
            <w:pPr>
              <w:pStyle w:val="FootnoteText"/>
              <w:jc w:val="center"/>
              <w:rPr>
                <w:b/>
                <w:color w:val="000000" w:themeColor="text1"/>
                <w:sz w:val="26"/>
                <w:szCs w:val="26"/>
              </w:rPr>
            </w:pPr>
            <w:r w:rsidRPr="000F0E7B">
              <w:rPr>
                <w:b/>
                <w:color w:val="000000" w:themeColor="text1"/>
                <w:sz w:val="26"/>
                <w:szCs w:val="26"/>
              </w:rPr>
              <w:t>Quy trình số</w:t>
            </w:r>
          </w:p>
        </w:tc>
        <w:tc>
          <w:tcPr>
            <w:tcW w:w="12333" w:type="dxa"/>
            <w:vAlign w:val="center"/>
          </w:tcPr>
          <w:p w:rsidR="00695391" w:rsidRPr="000F0E7B" w:rsidRDefault="00695391" w:rsidP="00695391">
            <w:pPr>
              <w:pStyle w:val="FootnoteText"/>
              <w:jc w:val="center"/>
              <w:rPr>
                <w:b/>
                <w:color w:val="000000" w:themeColor="text1"/>
                <w:sz w:val="26"/>
                <w:szCs w:val="26"/>
              </w:rPr>
            </w:pPr>
            <w:r w:rsidRPr="000F0E7B">
              <w:rPr>
                <w:b/>
                <w:color w:val="000000" w:themeColor="text1"/>
                <w:sz w:val="26"/>
                <w:szCs w:val="26"/>
              </w:rPr>
              <w:t>Tên thủ tục hành chính</w:t>
            </w:r>
          </w:p>
        </w:tc>
        <w:tc>
          <w:tcPr>
            <w:tcW w:w="1134" w:type="dxa"/>
            <w:vAlign w:val="center"/>
          </w:tcPr>
          <w:p w:rsidR="00695391" w:rsidRPr="000F0E7B" w:rsidRDefault="00695391" w:rsidP="00695391">
            <w:pPr>
              <w:pStyle w:val="FootnoteText"/>
              <w:jc w:val="center"/>
              <w:rPr>
                <w:b/>
                <w:color w:val="000000" w:themeColor="text1"/>
                <w:sz w:val="26"/>
                <w:szCs w:val="26"/>
              </w:rPr>
            </w:pPr>
            <w:r w:rsidRPr="000F0E7B">
              <w:rPr>
                <w:b/>
                <w:color w:val="000000" w:themeColor="text1"/>
                <w:sz w:val="26"/>
                <w:szCs w:val="26"/>
              </w:rPr>
              <w:t>Ghi chú</w:t>
            </w:r>
          </w:p>
        </w:tc>
      </w:tr>
      <w:tr w:rsidR="00695391" w:rsidRPr="000F0E7B" w:rsidTr="005301AC">
        <w:tc>
          <w:tcPr>
            <w:tcW w:w="1242" w:type="dxa"/>
          </w:tcPr>
          <w:p w:rsidR="00695391" w:rsidRPr="000F0E7B" w:rsidRDefault="00695391" w:rsidP="00695391">
            <w:pPr>
              <w:pStyle w:val="FootnoteText"/>
              <w:ind w:left="720"/>
              <w:rPr>
                <w:b/>
                <w:color w:val="000000" w:themeColor="text1"/>
                <w:sz w:val="26"/>
                <w:szCs w:val="26"/>
              </w:rPr>
            </w:pPr>
          </w:p>
        </w:tc>
        <w:tc>
          <w:tcPr>
            <w:tcW w:w="12333" w:type="dxa"/>
          </w:tcPr>
          <w:p w:rsidR="00695391" w:rsidRPr="000F0E7B" w:rsidRDefault="00695391" w:rsidP="000F0E7B">
            <w:pPr>
              <w:pStyle w:val="FootnoteText"/>
              <w:rPr>
                <w:b/>
                <w:color w:val="000000" w:themeColor="text1"/>
                <w:sz w:val="26"/>
                <w:szCs w:val="26"/>
              </w:rPr>
            </w:pPr>
            <w:r w:rsidRPr="000F0E7B">
              <w:rPr>
                <w:b/>
                <w:color w:val="000000" w:themeColor="text1"/>
                <w:sz w:val="26"/>
                <w:szCs w:val="26"/>
              </w:rPr>
              <w:t xml:space="preserve">Phòng Nghiệp vụ Y </w:t>
            </w:r>
            <w:r w:rsidR="005301AC" w:rsidRPr="000F0E7B">
              <w:rPr>
                <w:b/>
                <w:color w:val="000000" w:themeColor="text1"/>
                <w:sz w:val="26"/>
                <w:szCs w:val="26"/>
              </w:rPr>
              <w:t>- 1</w:t>
            </w:r>
            <w:r w:rsidR="000F0E7B" w:rsidRPr="000F0E7B">
              <w:rPr>
                <w:b/>
                <w:color w:val="000000" w:themeColor="text1"/>
                <w:sz w:val="26"/>
                <w:szCs w:val="26"/>
              </w:rPr>
              <w:t>11</w:t>
            </w:r>
            <w:r w:rsidR="005301AC" w:rsidRPr="000F0E7B">
              <w:rPr>
                <w:b/>
                <w:color w:val="000000" w:themeColor="text1"/>
                <w:sz w:val="26"/>
                <w:szCs w:val="26"/>
              </w:rPr>
              <w:t xml:space="preserve"> quy trình (Từ quy trình 01 đến quy trình 1</w:t>
            </w:r>
            <w:r w:rsidR="000F0E7B" w:rsidRPr="000F0E7B">
              <w:rPr>
                <w:b/>
                <w:color w:val="000000" w:themeColor="text1"/>
                <w:sz w:val="26"/>
                <w:szCs w:val="26"/>
              </w:rPr>
              <w:t>11</w:t>
            </w:r>
            <w:r w:rsidRPr="000F0E7B">
              <w:rPr>
                <w:b/>
                <w:color w:val="000000" w:themeColor="text1"/>
                <w:sz w:val="26"/>
                <w:szCs w:val="26"/>
              </w:rPr>
              <w:t xml:space="preserve"> )</w:t>
            </w:r>
          </w:p>
        </w:tc>
        <w:tc>
          <w:tcPr>
            <w:tcW w:w="1134" w:type="dxa"/>
          </w:tcPr>
          <w:p w:rsidR="00695391" w:rsidRPr="000F0E7B" w:rsidRDefault="00695391" w:rsidP="00927F6D">
            <w:pPr>
              <w:pStyle w:val="FootnoteText"/>
              <w:jc w:val="center"/>
              <w:rPr>
                <w:b/>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cấp điều chỉnh Chứng chỉ hành nghề khám bệnh, chữa bệnh trong trường hợp đề nghị thay đổi họ và tên, ngày tháng năm sinh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jc w:val="both"/>
              <w:rPr>
                <w:rFonts w:ascii="Times New Roman" w:eastAsia="Times New Roman" w:hAnsi="Times New Roman" w:cs="Times New Roman"/>
                <w:b/>
                <w:color w:val="000000" w:themeColor="text1"/>
                <w:sz w:val="26"/>
                <w:szCs w:val="26"/>
              </w:rPr>
            </w:pPr>
            <w:r w:rsidRPr="000F0E7B">
              <w:rPr>
                <w:rFonts w:ascii="Times New Roman" w:eastAsia="Times New Roman" w:hAnsi="Times New Roman" w:cs="Times New Roman"/>
                <w:bCs/>
                <w:color w:val="000000" w:themeColor="text1"/>
                <w:sz w:val="26"/>
                <w:szCs w:val="26"/>
                <w:shd w:val="clear" w:color="auto" w:fill="FFFFFF"/>
              </w:rPr>
              <w:t xml:space="preserve">Thủ tục cấp Giấy phép hoạt động đối với phòng khám, điều trị bệnh nghề nghiệp thuộc thẩm quyền của Sở Y tế </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jc w:val="both"/>
              <w:rPr>
                <w:rFonts w:ascii="Times New Roman" w:eastAsia="Times New Roman" w:hAnsi="Times New Roman" w:cs="Times New Roman"/>
                <w:bCs/>
                <w:color w:val="000000" w:themeColor="text1"/>
                <w:sz w:val="26"/>
                <w:szCs w:val="26"/>
                <w:shd w:val="clear" w:color="auto" w:fill="FFFFFF"/>
              </w:rPr>
            </w:pPr>
            <w:r w:rsidRPr="000F0E7B">
              <w:rPr>
                <w:rFonts w:ascii="Times New Roman" w:eastAsia="Times New Roman" w:hAnsi="Times New Roman" w:cs="Times New Roman"/>
                <w:bCs/>
                <w:color w:val="000000" w:themeColor="text1"/>
                <w:sz w:val="26"/>
                <w:szCs w:val="26"/>
                <w:shd w:val="clear" w:color="auto" w:fill="FFFFFF"/>
              </w:rPr>
              <w:t>Thủ tục công bố đủ điều kiện hoạt động đối với cơ sở dịch vụ thẩm mỹ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jc w:val="both"/>
              <w:rPr>
                <w:rFonts w:ascii="Times New Roman" w:eastAsia="Times New Roman" w:hAnsi="Times New Roman" w:cs="Times New Roman"/>
                <w:bCs/>
                <w:color w:val="000000" w:themeColor="text1"/>
                <w:sz w:val="26"/>
                <w:szCs w:val="26"/>
                <w:shd w:val="clear" w:color="auto" w:fill="FFFFFF"/>
              </w:rPr>
            </w:pPr>
            <w:r w:rsidRPr="000F0E7B">
              <w:rPr>
                <w:rFonts w:ascii="Times New Roman" w:eastAsia="Times New Roman" w:hAnsi="Times New Roman" w:cs="Times New Roman"/>
                <w:bCs/>
                <w:color w:val="000000" w:themeColor="text1"/>
                <w:sz w:val="26"/>
                <w:szCs w:val="26"/>
                <w:shd w:val="clear" w:color="auto" w:fill="FFFFFF"/>
              </w:rPr>
              <w:t>Thủ tục công bố đủ điều kiện hoạt động đối với cơ sở dịch vụ xoa bóp (massage)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cấp Chứng chỉ hành nghề khám bệnh, chữa bệnh đối với người Việt Nam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cấp bổ sung phạm vi hoạt động chuyên môn trong Chứng chỉ hành  nghề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cấp thay đổi phạm vi hoạt động chuyên môn trong Chứng chỉ hành  nghề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cấp lại Chứng chỉ hành nghề khám bệnh, chữa bệnh đối với người Việt Nam bị mất hoặc hư hỏng hoặc bị thu hồi chứng chỉ hành nghề theo quy định tại Điểm a, b Khoản 1 Điều 29 Luật Khám bệnh, chữa bệnh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cấp lại Chứng chỉ hành nghề khám bệnh, chữa bệnh đối với người Việt Nam bị thu hồi chứng chỉ hành nghề theo quy định tại Điểm c, d, đ, e và g Khoản 1 Điều 29 Luật Khám bệnh, chữa bệnh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bCs/>
                <w:color w:val="000000" w:themeColor="text1"/>
                <w:sz w:val="26"/>
                <w:szCs w:val="26"/>
                <w:shd w:val="clear" w:color="auto" w:fill="FFFFFF"/>
              </w:rPr>
            </w:pPr>
            <w:r w:rsidRPr="000F0E7B">
              <w:rPr>
                <w:rFonts w:ascii="Times New Roman" w:eastAsia="Times New Roman" w:hAnsi="Times New Roman" w:cs="Times New Roman"/>
                <w:bCs/>
                <w:color w:val="000000" w:themeColor="text1"/>
                <w:sz w:val="26"/>
                <w:szCs w:val="26"/>
                <w:shd w:val="clear" w:color="auto" w:fill="FFFFFF"/>
              </w:rPr>
              <w:t>Thủ tục cấp Giấy chứng nhận bài thuốc gia truyền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cấp Giấy phép hoạt động đối với bệnh viện thuộc Sở Y tế và áp dụng đối với trường hợp khi thay đổi hình thức tổ chức, chia tách, hợp nhất, sáp nhập</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cấp Giấy phép hoạt động đối với Phòng khám đa khoa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bCs/>
                <w:color w:val="000000" w:themeColor="text1"/>
                <w:sz w:val="26"/>
                <w:szCs w:val="26"/>
                <w:shd w:val="clear" w:color="auto" w:fill="FFFFFF"/>
                <w:lang w:val="es-ES"/>
              </w:rPr>
            </w:pPr>
            <w:r w:rsidRPr="000F0E7B">
              <w:rPr>
                <w:rFonts w:ascii="Times New Roman" w:eastAsia="Times New Roman" w:hAnsi="Times New Roman" w:cs="Times New Roman"/>
                <w:bCs/>
                <w:color w:val="000000" w:themeColor="text1"/>
                <w:sz w:val="26"/>
                <w:szCs w:val="26"/>
                <w:shd w:val="clear" w:color="auto" w:fill="FFFFFF"/>
              </w:rPr>
              <w:t>Thủ tục cấp Giấy phép hoạt động đối với Phòng khám chuyên khoa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spacing w:before="60" w:after="60" w:line="288" w:lineRule="auto"/>
              <w:jc w:val="both"/>
              <w:rPr>
                <w:rFonts w:ascii="Times New Roman" w:eastAsia="Times New Roman" w:hAnsi="Times New Roman" w:cs="Times New Roman"/>
                <w:bCs/>
                <w:color w:val="000000" w:themeColor="text1"/>
                <w:sz w:val="26"/>
                <w:szCs w:val="26"/>
                <w:shd w:val="clear" w:color="auto" w:fill="FFFFFF"/>
                <w:lang w:val="es-ES"/>
              </w:rPr>
            </w:pPr>
            <w:r w:rsidRPr="000F0E7B">
              <w:rPr>
                <w:rFonts w:ascii="Times New Roman" w:eastAsia="Times New Roman" w:hAnsi="Times New Roman" w:cs="Times New Roman"/>
                <w:bCs/>
                <w:color w:val="000000" w:themeColor="text1"/>
                <w:sz w:val="26"/>
                <w:szCs w:val="26"/>
                <w:shd w:val="clear" w:color="auto" w:fill="FFFFFF"/>
                <w:lang w:val="es-ES"/>
              </w:rPr>
              <w:t>Thủ tục cấp Giấy phép hoạt động đối với Phòng chẩn trị y học cổ truyền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lang w:val="es-ES"/>
              </w:rPr>
            </w:pPr>
            <w:r w:rsidRPr="000F0E7B">
              <w:rPr>
                <w:rFonts w:ascii="Times New Roman" w:eastAsia="Times New Roman" w:hAnsi="Times New Roman" w:cs="Times New Roman"/>
                <w:color w:val="000000" w:themeColor="text1"/>
                <w:sz w:val="26"/>
                <w:szCs w:val="26"/>
                <w:lang w:val="es-ES"/>
              </w:rPr>
              <w:t>Thủ tục cấp Giấy phép hoạt động đối với Phòng xét nghiệm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lang w:val="es-ES"/>
              </w:rPr>
            </w:pPr>
            <w:r w:rsidRPr="000F0E7B">
              <w:rPr>
                <w:rFonts w:ascii="Times New Roman" w:eastAsia="Times New Roman" w:hAnsi="Times New Roman" w:cs="Times New Roman"/>
                <w:color w:val="000000" w:themeColor="text1"/>
                <w:sz w:val="26"/>
                <w:szCs w:val="26"/>
                <w:lang w:val="es-ES"/>
              </w:rPr>
              <w:t>Thủ tục cấp Giấy phép hoạt động đối với Nhà hộ sinh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4" w:lineRule="atLeast"/>
              <w:jc w:val="both"/>
              <w:rPr>
                <w:rFonts w:ascii="Times New Roman" w:eastAsia="Times New Roman" w:hAnsi="Times New Roman" w:cs="Times New Roman"/>
                <w:b/>
                <w:color w:val="000000" w:themeColor="text1"/>
                <w:sz w:val="26"/>
                <w:szCs w:val="26"/>
                <w:lang w:val="es-ES"/>
              </w:rPr>
            </w:pPr>
            <w:r w:rsidRPr="000F0E7B">
              <w:rPr>
                <w:rFonts w:ascii="Times New Roman" w:eastAsia="Times New Roman" w:hAnsi="Times New Roman" w:cs="Times New Roman"/>
                <w:bCs/>
                <w:color w:val="000000" w:themeColor="text1"/>
                <w:sz w:val="26"/>
                <w:szCs w:val="26"/>
                <w:shd w:val="clear" w:color="auto" w:fill="FFFFFF"/>
                <w:lang w:val="es-ES"/>
              </w:rPr>
              <w:t>Thủ tục cấp Giấy phép hoạt động đối với phòng khám, tư vấn và điều trị dự phòng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lang w:val="es-ES"/>
              </w:rPr>
            </w:pPr>
            <w:r w:rsidRPr="000F0E7B">
              <w:rPr>
                <w:rFonts w:ascii="Times New Roman" w:eastAsia="Times New Roman" w:hAnsi="Times New Roman" w:cs="Times New Roman"/>
                <w:color w:val="000000" w:themeColor="text1"/>
                <w:sz w:val="26"/>
                <w:szCs w:val="26"/>
                <w:lang w:val="es-ES"/>
              </w:rPr>
              <w:t xml:space="preserve">Thủ tục cấp Giấy phép hoạt động đối với cơ sở dịch vụ tiêm (chích), thay băng, đếm mạch, đo nhiệt độ, đo huyết áp </w:t>
            </w:r>
            <w:r w:rsidRPr="000F0E7B">
              <w:rPr>
                <w:rFonts w:ascii="Times New Roman" w:eastAsia="Times New Roman" w:hAnsi="Times New Roman" w:cs="Times New Roman"/>
                <w:bCs/>
                <w:color w:val="000000" w:themeColor="text1"/>
                <w:sz w:val="26"/>
                <w:szCs w:val="26"/>
                <w:shd w:val="clear" w:color="auto" w:fill="FFFFFF"/>
                <w:lang w:val="es-ES"/>
              </w:rPr>
              <w:t>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lang w:val="es-ES"/>
              </w:rPr>
            </w:pPr>
            <w:r w:rsidRPr="000F0E7B">
              <w:rPr>
                <w:rFonts w:ascii="Times New Roman" w:eastAsia="Times New Roman" w:hAnsi="Times New Roman" w:cs="Times New Roman"/>
                <w:color w:val="000000" w:themeColor="text1"/>
                <w:sz w:val="26"/>
                <w:szCs w:val="26"/>
                <w:lang w:val="es-ES"/>
              </w:rPr>
              <w:t xml:space="preserve">Thủ tục cấp Giấy phép hoạt động đối với cơ sở dịch vụ chăm sóc sức khoẻ tại nhà </w:t>
            </w:r>
            <w:r w:rsidRPr="000F0E7B">
              <w:rPr>
                <w:rFonts w:ascii="Times New Roman" w:eastAsia="Times New Roman" w:hAnsi="Times New Roman" w:cs="Times New Roman"/>
                <w:bCs/>
                <w:color w:val="000000" w:themeColor="text1"/>
                <w:sz w:val="26"/>
                <w:szCs w:val="26"/>
                <w:shd w:val="clear" w:color="auto" w:fill="FFFFFF"/>
                <w:lang w:val="es-ES"/>
              </w:rPr>
              <w:t>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lang w:val="es-ES"/>
              </w:rPr>
            </w:pPr>
            <w:r w:rsidRPr="000F0E7B">
              <w:rPr>
                <w:rFonts w:ascii="Times New Roman" w:eastAsia="Times New Roman" w:hAnsi="Times New Roman" w:cs="Times New Roman"/>
                <w:color w:val="000000" w:themeColor="text1"/>
                <w:sz w:val="26"/>
                <w:szCs w:val="26"/>
                <w:lang w:val="es-ES"/>
              </w:rPr>
              <w:t xml:space="preserve">Thủ tục cấp Giấy phép hoạt động đối với cơ sở dịch vụ cấp cứu, hỗ trợ vận chuyển người bệnh </w:t>
            </w:r>
            <w:r w:rsidRPr="000F0E7B">
              <w:rPr>
                <w:rFonts w:ascii="Times New Roman" w:eastAsia="Times New Roman" w:hAnsi="Times New Roman" w:cs="Times New Roman"/>
                <w:bCs/>
                <w:color w:val="000000" w:themeColor="text1"/>
                <w:sz w:val="26"/>
                <w:szCs w:val="26"/>
                <w:shd w:val="clear" w:color="auto" w:fill="FFFFFF"/>
                <w:lang w:val="es-ES"/>
              </w:rPr>
              <w:t>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lang w:val="es-ES"/>
              </w:rPr>
            </w:pPr>
            <w:r w:rsidRPr="000F0E7B">
              <w:rPr>
                <w:rFonts w:ascii="Times New Roman" w:eastAsia="Times New Roman" w:hAnsi="Times New Roman" w:cs="Times New Roman"/>
                <w:color w:val="000000" w:themeColor="text1"/>
                <w:sz w:val="26"/>
                <w:szCs w:val="26"/>
                <w:lang w:val="es-ES"/>
              </w:rPr>
              <w:t xml:space="preserve">Thủ tục cấp Giấy phép hoạt động đối với cơ sở dịch vụ kính thuốc </w:t>
            </w:r>
            <w:r w:rsidRPr="000F0E7B">
              <w:rPr>
                <w:rFonts w:ascii="Times New Roman" w:eastAsia="Times New Roman" w:hAnsi="Times New Roman" w:cs="Times New Roman"/>
                <w:bCs/>
                <w:color w:val="000000" w:themeColor="text1"/>
                <w:sz w:val="26"/>
                <w:szCs w:val="26"/>
                <w:shd w:val="clear" w:color="auto" w:fill="FFFFFF"/>
                <w:lang w:val="es-ES"/>
              </w:rPr>
              <w:t>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lang w:val="es-ES"/>
              </w:rPr>
            </w:pPr>
            <w:r w:rsidRPr="000F0E7B">
              <w:rPr>
                <w:rFonts w:ascii="Times New Roman" w:eastAsia="Times New Roman" w:hAnsi="Times New Roman" w:cs="Times New Roman"/>
                <w:color w:val="000000" w:themeColor="text1"/>
                <w:sz w:val="26"/>
                <w:szCs w:val="26"/>
                <w:lang w:val="es-ES"/>
              </w:rPr>
              <w:t>Thủ tục cấp Giấy phép hoạt động đối với Phòng khám chẩn đoán hình ảnh, phòng X-quang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lang w:val="es-ES"/>
              </w:rPr>
            </w:pPr>
            <w:r w:rsidRPr="000F0E7B">
              <w:rPr>
                <w:rFonts w:ascii="Times New Roman" w:eastAsia="Times New Roman" w:hAnsi="Times New Roman" w:cs="Times New Roman"/>
                <w:color w:val="000000" w:themeColor="text1"/>
                <w:sz w:val="26"/>
                <w:szCs w:val="26"/>
                <w:lang w:val="es-ES"/>
              </w:rPr>
              <w:t xml:space="preserve">Thủ tục cấp Giấy phép hoạt động đối với trạm xá, trạm y tế cấp xã </w:t>
            </w:r>
            <w:r w:rsidRPr="000F0E7B">
              <w:rPr>
                <w:rFonts w:ascii="Times New Roman" w:eastAsia="Times New Roman" w:hAnsi="Times New Roman" w:cs="Times New Roman"/>
                <w:bCs/>
                <w:color w:val="000000" w:themeColor="text1"/>
                <w:sz w:val="26"/>
                <w:szCs w:val="26"/>
                <w:shd w:val="clear" w:color="auto" w:fill="FFFFFF"/>
                <w:lang w:val="es-ES"/>
              </w:rPr>
              <w:t>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lang w:val="es-ES"/>
              </w:rPr>
            </w:pPr>
            <w:r w:rsidRPr="000F0E7B">
              <w:rPr>
                <w:rFonts w:ascii="Times New Roman" w:eastAsia="Times New Roman" w:hAnsi="Times New Roman" w:cs="Times New Roman"/>
                <w:color w:val="000000" w:themeColor="text1"/>
                <w:sz w:val="26"/>
                <w:szCs w:val="26"/>
                <w:lang w:val="es-ES"/>
              </w:rPr>
              <w:t xml:space="preserve">Thủ tục cấp Giấy phép hoạt động đối với cơ sở dịch vụ làm răng giả </w:t>
            </w:r>
            <w:r w:rsidRPr="000F0E7B">
              <w:rPr>
                <w:rFonts w:ascii="Times New Roman" w:eastAsia="Times New Roman" w:hAnsi="Times New Roman" w:cs="Times New Roman"/>
                <w:bCs/>
                <w:color w:val="000000" w:themeColor="text1"/>
                <w:sz w:val="26"/>
                <w:szCs w:val="26"/>
                <w:shd w:val="clear" w:color="auto" w:fill="FFFFFF"/>
                <w:lang w:val="es-ES"/>
              </w:rPr>
              <w:t>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lang w:val="es-ES"/>
              </w:rPr>
            </w:pPr>
            <w:r w:rsidRPr="000F0E7B">
              <w:rPr>
                <w:rFonts w:ascii="Times New Roman" w:eastAsia="Times New Roman" w:hAnsi="Times New Roman" w:cs="Times New Roman"/>
                <w:color w:val="000000" w:themeColor="text1"/>
                <w:sz w:val="26"/>
                <w:szCs w:val="26"/>
                <w:lang w:val="es-ES"/>
              </w:rPr>
              <w:t>Thủ tục công bố đủ điều kiện thực hiện khám sức khỏe của cơ sở khám bệnh, chữa bệnh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lang w:val="es-ES"/>
              </w:rPr>
            </w:pPr>
            <w:r w:rsidRPr="000F0E7B">
              <w:rPr>
                <w:rFonts w:ascii="Times New Roman" w:eastAsia="Times New Roman" w:hAnsi="Times New Roman" w:cs="Times New Roman"/>
                <w:color w:val="000000" w:themeColor="text1"/>
                <w:sz w:val="26"/>
                <w:szCs w:val="26"/>
                <w:lang w:val="es-ES"/>
              </w:rPr>
              <w:t xml:space="preserve">Thủ tục cấp Giấy phép hoạt động đối với cơ sở khám bệnh, chữa bệnh thuộc thẩm quyền của Sở Y tế khi thay đổi </w:t>
            </w:r>
            <w:r w:rsidRPr="000F0E7B">
              <w:rPr>
                <w:rFonts w:ascii="Times New Roman" w:eastAsia="Times New Roman" w:hAnsi="Times New Roman" w:cs="Times New Roman"/>
                <w:color w:val="000000" w:themeColor="text1"/>
                <w:sz w:val="26"/>
                <w:szCs w:val="26"/>
                <w:lang w:val="es-ES"/>
              </w:rPr>
              <w:lastRenderedPageBreak/>
              <w:t>địa điểm</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cấp Giấy phép hoạt động đối với cơ sở khám bệnh, chữa bệnh thuộc thẩm quyền của Sở Y tế khi thay đổi tên cơ sở khám bệnh, chữa bệnh</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bCs/>
                <w:color w:val="000000" w:themeColor="text1"/>
                <w:sz w:val="26"/>
                <w:szCs w:val="26"/>
                <w:shd w:val="clear" w:color="auto" w:fill="FFFFFF"/>
              </w:rPr>
            </w:pPr>
            <w:r w:rsidRPr="000F0E7B">
              <w:rPr>
                <w:rFonts w:ascii="Times New Roman" w:eastAsia="Times New Roman" w:hAnsi="Times New Roman" w:cs="Times New Roman"/>
                <w:bCs/>
                <w:color w:val="000000" w:themeColor="text1"/>
                <w:sz w:val="26"/>
                <w:szCs w:val="26"/>
                <w:shd w:val="clear" w:color="auto" w:fill="FFFFFF"/>
              </w:rPr>
              <w:t>Thủ tục điều chỉnh Giấy phép hoạt động đối với cơ sở khám bệnh, chữa bệnh khi thay đổi quy mô giường bệnh hoặc cơ cấu tổ chức, nhân sự hoặc phạm vi hoạt động chuyên môn (Áp dụng cho các cơ sở khám bệnh, chữa bệnh thuộc thẩm quyền của Sở Y tế và bệnh viện tư nhân, bệnh viện trực thuộc các bộ, ngành khác đã được Bộ trưởng Bộ Y tế cấp giấy phép hoạt động)</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bCs/>
                <w:color w:val="000000" w:themeColor="text1"/>
                <w:sz w:val="26"/>
                <w:szCs w:val="26"/>
                <w:shd w:val="clear" w:color="auto" w:fill="FFFFFF"/>
              </w:rPr>
            </w:pPr>
            <w:r w:rsidRPr="000F0E7B">
              <w:rPr>
                <w:rFonts w:ascii="Times New Roman" w:eastAsia="Times New Roman" w:hAnsi="Times New Roman" w:cs="Times New Roman"/>
                <w:bCs/>
                <w:color w:val="000000" w:themeColor="text1"/>
                <w:sz w:val="26"/>
                <w:szCs w:val="26"/>
                <w:shd w:val="clear" w:color="auto" w:fill="FFFFFF"/>
              </w:rPr>
              <w:t>Thủ tục cấp Giấy phép hoạt động đối với cơ sở khám bệnh, chữa bệnh khi thay đổi người chịu trách nhiệm chuyên môn của cơ sở khám bệnh, chữa bệnh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cấp lại Giấy phép hoạt động đối với cơ sở khám bệnh, chữa bệnh thuộc thẩm quyền của Sở Y tế do bị mất hoặc hư hỏng hoặc giấy phép bị thu hồi do cấp không đúng thẩm quyền</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cho phép áp dụng thí điểm kỹ thuật mới, phương pháp mới trong khám bệnh, chữa bệnh</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line="288"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cho phép áp dụng chính thức kỹ thuật mới, phương pháp mới trong khám bệnh, chữa bệnh</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rPr>
                <w:rFonts w:ascii="Times New Roman" w:eastAsia="Times New Roman" w:hAnsi="Times New Roman" w:cs="Times New Roman"/>
                <w:color w:val="000000" w:themeColor="text1"/>
                <w:sz w:val="26"/>
                <w:szCs w:val="26"/>
                <w:lang w:val="nl-NL"/>
              </w:rPr>
            </w:pPr>
            <w:r w:rsidRPr="000F0E7B">
              <w:rPr>
                <w:rFonts w:ascii="Times New Roman" w:eastAsia="Times New Roman" w:hAnsi="Times New Roman" w:cs="Times New Roman"/>
                <w:color w:val="000000" w:themeColor="text1"/>
                <w:sz w:val="26"/>
                <w:szCs w:val="26"/>
                <w:lang w:val="nl-NL"/>
              </w:rPr>
              <w:t>Thủ tục công bố cơ sở đủ điều kiện thực hiện khám sức khỏe lái xe thuộc thẩm quyền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rPr>
                <w:rFonts w:ascii="Times New Roman" w:eastAsia="Times New Roman" w:hAnsi="Times New Roman" w:cs="Times New Roman"/>
                <w:color w:val="000000" w:themeColor="text1"/>
                <w:sz w:val="26"/>
                <w:szCs w:val="26"/>
                <w:lang w:val="nl-NL"/>
              </w:rPr>
            </w:pPr>
            <w:r w:rsidRPr="000F0E7B">
              <w:rPr>
                <w:rFonts w:ascii="Times New Roman" w:eastAsia="Times New Roman" w:hAnsi="Times New Roman" w:cs="Times New Roman"/>
                <w:color w:val="000000" w:themeColor="text1"/>
                <w:sz w:val="26"/>
                <w:szCs w:val="26"/>
                <w:lang w:val="nl-NL"/>
              </w:rPr>
              <w:t>Thủ tục cấp Giấy khám sức khỏe cho người lái xe</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rPr>
                <w:rFonts w:ascii="Times New Roman" w:eastAsia="Times New Roman" w:hAnsi="Times New Roman" w:cs="Times New Roman"/>
                <w:color w:val="000000" w:themeColor="text1"/>
                <w:sz w:val="26"/>
                <w:szCs w:val="26"/>
                <w:lang w:val="nl-NL"/>
              </w:rPr>
            </w:pPr>
            <w:r w:rsidRPr="000F0E7B">
              <w:rPr>
                <w:rFonts w:ascii="Times New Roman" w:eastAsia="Times New Roman" w:hAnsi="Times New Roman" w:cs="Times New Roman"/>
                <w:color w:val="000000" w:themeColor="text1"/>
                <w:sz w:val="26"/>
                <w:szCs w:val="26"/>
                <w:lang w:val="nl-NL"/>
              </w:rPr>
              <w:t>Thủ tục khám sức khỏe định kỳ của người lái xe ô tô</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tabs>
                <w:tab w:val="center" w:pos="6804"/>
              </w:tabs>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Cấp giấy khám sức khoẻ cho người từ đủ 18 tuổi trở lên</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tabs>
                <w:tab w:val="center" w:pos="6804"/>
              </w:tabs>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 xml:space="preserve">Thủ tục Cấp giấy khám sức khoẻ cho người chưa đủ 18 tuổi </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tabs>
                <w:tab w:val="center" w:pos="6804"/>
              </w:tabs>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Cấp giấy khám sức khoẻ người mất năng lực hành vi dân sự hoặc không có năng lực hành vi dân sự hoặc hạn chế năng lực hành vi dân sự</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tabs>
                <w:tab w:val="center" w:pos="6804"/>
              </w:tabs>
              <w:rPr>
                <w:rFonts w:ascii="Times New Roman" w:eastAsia="Times New Roman" w:hAnsi="Times New Roman" w:cs="Times New Roman"/>
                <w:color w:val="000000" w:themeColor="text1"/>
                <w:spacing w:val="-6"/>
                <w:sz w:val="26"/>
                <w:szCs w:val="26"/>
              </w:rPr>
            </w:pPr>
            <w:r w:rsidRPr="000F0E7B">
              <w:rPr>
                <w:rFonts w:ascii="Times New Roman" w:eastAsia="Times New Roman" w:hAnsi="Times New Roman" w:cs="Times New Roman"/>
                <w:color w:val="000000" w:themeColor="text1"/>
                <w:sz w:val="26"/>
                <w:szCs w:val="26"/>
              </w:rPr>
              <w:t>Thủ tục Khám sức khoẻ định kỳ</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line="276" w:lineRule="auto"/>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Cấp giấy phép hoạt động đối với trạm sơ cấp cứu chữ thập đỏ</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line="276" w:lineRule="auto"/>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Cấp giấy phép hoạt động đối với điểm sơ cấp cứu chữ thập đỏ</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tabs>
                <w:tab w:val="center" w:pos="6804"/>
              </w:tabs>
              <w:spacing w:line="276" w:lineRule="auto"/>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Cấp lại giấy phép hoạt động đối với trạm, điểm sơ cấp cứu chữ thập đỏ khi thay đổi địa điểm</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tabs>
                <w:tab w:val="center" w:pos="6804"/>
              </w:tabs>
              <w:spacing w:line="276" w:lineRule="auto"/>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Cấp lại giấy phép hoạt động đối với trạm, điểm sơ cấp cứu chữ thập đỏ do nguyên nhân mất, rách, hỏng</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tabs>
                <w:tab w:val="center" w:pos="6804"/>
              </w:tabs>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đề nghị phê duyệt lần đầu danh mục kỹ thuật của các cơ sở khám bệnh, chữa bệnh thuộc thẩm quyền quản lý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tabs>
                <w:tab w:val="center" w:pos="6804"/>
              </w:tabs>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đề nghị phê duyệt bổ sung danh mục kỹ thuật của các cơ sở khám bệnh, chữa bệnh thuộc thẩm quyền quản lý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widowControl w:val="0"/>
              <w:autoSpaceDE w:val="0"/>
              <w:autoSpaceDN w:val="0"/>
              <w:adjustRightInd w:val="0"/>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Cho phép người hành nghề được tiếp tục hành nghề khám bệnh, chữa bệnh sau khi bị đình chỉ hoạt động chuyên môn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widowControl w:val="0"/>
              <w:autoSpaceDE w:val="0"/>
              <w:autoSpaceDN w:val="0"/>
              <w:adjustRightInd w:val="0"/>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Cho phép cơ sở khám bệnh, chữa bệnh được tiếp tục hoạt động khám bệnh, chữa bệnh sau khi bị đình chỉ hoạt động chuyên môn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120" w:line="276"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shd w:val="solid" w:color="FFFFFF" w:fill="auto"/>
              </w:rPr>
              <w:t>Thủ tục Cấp</w:t>
            </w:r>
            <w:r w:rsidRPr="000F0E7B">
              <w:rPr>
                <w:rFonts w:ascii="Times New Roman" w:eastAsia="Times New Roman" w:hAnsi="Times New Roman" w:cs="Times New Roman"/>
                <w:color w:val="000000" w:themeColor="text1"/>
                <w:sz w:val="26"/>
                <w:szCs w:val="26"/>
              </w:rPr>
              <w:t xml:space="preserve"> chứng chỉ hành nghề bác sỹ gia đình thuộc thẩm quyền của Sở Y tế trước ngày 01/01/2016</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120" w:line="276"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shd w:val="solid" w:color="FFFFFF" w:fill="auto"/>
              </w:rPr>
              <w:t>Thủ tục Cấp</w:t>
            </w:r>
            <w:r w:rsidRPr="000F0E7B">
              <w:rPr>
                <w:rFonts w:ascii="Times New Roman" w:eastAsia="Times New Roman" w:hAnsi="Times New Roman" w:cs="Times New Roman"/>
                <w:color w:val="000000" w:themeColor="text1"/>
                <w:sz w:val="26"/>
                <w:szCs w:val="26"/>
              </w:rPr>
              <w:t xml:space="preserve"> chứng chỉ hành nghề bác sỹ gia đình thuộc thẩm quyền của Sở Y tế từ ngày 01/01/2016</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120" w:line="276"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shd w:val="solid" w:color="FFFFFF" w:fill="auto"/>
              </w:rPr>
              <w:t xml:space="preserve">Thủ tục </w:t>
            </w:r>
            <w:r w:rsidRPr="000F0E7B">
              <w:rPr>
                <w:rFonts w:ascii="Times New Roman" w:eastAsia="Times New Roman" w:hAnsi="Times New Roman" w:cs="Times New Roman"/>
                <w:color w:val="000000" w:themeColor="text1"/>
                <w:sz w:val="26"/>
                <w:szCs w:val="26"/>
              </w:rPr>
              <w:t>Cấp lại chứng chỉ hành nghề bác sỹ gia đình đối với người Việt Nam bị  mất hoặc hư hỏng hoặc bị thu hồi chứng chỉ hành nghề theo quy định tại điểm a, b Khoản 1 Điều 29 Luật khám bệnh, chữa bệnh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120" w:line="276"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shd w:val="solid" w:color="FFFFFF" w:fill="auto"/>
              </w:rPr>
              <w:t>Thủ tục Cấp</w:t>
            </w:r>
            <w:r w:rsidRPr="000F0E7B">
              <w:rPr>
                <w:rFonts w:ascii="Times New Roman" w:eastAsia="Times New Roman" w:hAnsi="Times New Roman" w:cs="Times New Roman"/>
                <w:color w:val="000000" w:themeColor="text1"/>
                <w:sz w:val="26"/>
                <w:szCs w:val="26"/>
              </w:rPr>
              <w:t xml:space="preserve"> lại chứng chỉ hành nghề bác sỹ gia đình đối với người Việt Nam bị thu hồi chứng chỉ hành nghề theo quy định tại điểm c, d, đ, e và g Khoản 1 Điều 29 Luật khám bệnh, chữa bệnh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120" w:line="276"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shd w:val="solid" w:color="FFFFFF" w:fill="auto"/>
              </w:rPr>
              <w:t xml:space="preserve">Thủ tục </w:t>
            </w:r>
            <w:r w:rsidRPr="000F0E7B">
              <w:rPr>
                <w:rFonts w:ascii="Times New Roman" w:eastAsia="Times New Roman" w:hAnsi="Times New Roman" w:cs="Times New Roman"/>
                <w:color w:val="000000" w:themeColor="text1"/>
                <w:sz w:val="26"/>
                <w:szCs w:val="26"/>
              </w:rPr>
              <w:t>Cấp giấy phép hoạt động đối với phòng khám bác sỹ gia đình thuộc phòng khám đa khoa tư nhân hoặc khoa khám bệnh của bệnh viện đa khoa</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120" w:line="276"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shd w:val="solid" w:color="FFFFFF" w:fill="auto"/>
              </w:rPr>
              <w:t xml:space="preserve">Thủ tục </w:t>
            </w:r>
            <w:r w:rsidRPr="000F0E7B">
              <w:rPr>
                <w:rFonts w:ascii="Times New Roman" w:eastAsia="Times New Roman" w:hAnsi="Times New Roman" w:cs="Times New Roman"/>
                <w:color w:val="000000" w:themeColor="text1"/>
                <w:sz w:val="26"/>
                <w:szCs w:val="26"/>
              </w:rPr>
              <w:t>Cấp bổ sung lồng ghép, nhiệm vụ của phòng khám bác sỹ gia đình đối với trạm y tế cấp xã</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120" w:line="276"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shd w:val="solid" w:color="FFFFFF" w:fill="auto"/>
              </w:rPr>
              <w:t xml:space="preserve">Thủ tục </w:t>
            </w:r>
            <w:r w:rsidRPr="000F0E7B">
              <w:rPr>
                <w:rFonts w:ascii="Times New Roman" w:eastAsia="Times New Roman" w:hAnsi="Times New Roman" w:cs="Times New Roman"/>
                <w:color w:val="000000" w:themeColor="text1"/>
                <w:sz w:val="26"/>
                <w:szCs w:val="26"/>
              </w:rPr>
              <w:t>Cấp lại giấy phép hoạt động đối với phòng khám bác sỹ gia đình thuộc thẩm quyền của Sở Y tế khi thay đổi địa điểm</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120" w:line="276"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shd w:val="solid" w:color="FFFFFF" w:fill="auto"/>
              </w:rPr>
              <w:t xml:space="preserve">Thủ tục </w:t>
            </w:r>
            <w:r w:rsidRPr="000F0E7B">
              <w:rPr>
                <w:rFonts w:ascii="Times New Roman" w:eastAsia="Times New Roman" w:hAnsi="Times New Roman" w:cs="Times New Roman"/>
                <w:color w:val="000000" w:themeColor="text1"/>
                <w:sz w:val="26"/>
                <w:szCs w:val="26"/>
              </w:rPr>
              <w:t>Cấp lại giấy phép hoạt động đối với phòng khám bác sỹ gia đình thuộc thẩm quyền của Sở Y tế do bị mất hoặc hư hỏng hoặc giấy phép bị thu hồi do cấp không đúng thẩm quyền</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120" w:line="276" w:lineRule="auto"/>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shd w:val="solid" w:color="FFFFFF" w:fill="auto"/>
              </w:rPr>
              <w:t>Thủ tục Bổ sung</w:t>
            </w:r>
            <w:r w:rsidRPr="000F0E7B">
              <w:rPr>
                <w:rFonts w:ascii="Times New Roman" w:eastAsia="Times New Roman" w:hAnsi="Times New Roman" w:cs="Times New Roman"/>
                <w:color w:val="000000" w:themeColor="text1"/>
                <w:sz w:val="26"/>
                <w:szCs w:val="26"/>
              </w:rPr>
              <w:t>, điều chỉnh phạm vi hoạt động bác sỹ gia đình đối với Phòng khám đa khoa hoặc bệnh viện đa khoa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120"/>
              <w:jc w:val="both"/>
              <w:rPr>
                <w:rFonts w:ascii="Times New Roman" w:hAnsi="Times New Roman" w:cs="Times New Roman"/>
                <w:color w:val="000000" w:themeColor="text1"/>
                <w:sz w:val="26"/>
                <w:szCs w:val="26"/>
                <w:shd w:val="solid" w:color="FFFFFF" w:fill="auto"/>
              </w:rPr>
            </w:pPr>
            <w:r w:rsidRPr="000F0E7B">
              <w:rPr>
                <w:rFonts w:ascii="Times New Roman" w:eastAsia="Times New Roman" w:hAnsi="Times New Roman" w:cs="Times New Roman"/>
                <w:bCs/>
                <w:color w:val="000000" w:themeColor="text1"/>
                <w:sz w:val="26"/>
                <w:szCs w:val="26"/>
              </w:rPr>
              <w:t>Thủ tục cấp giấy phép hoạt động đối với phòng khám bác sỹ gia đình tư nhân độc lập</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Cấp giấy chứng nhận là lương y cho các đối tượng quy định tại Khoản 1, Điều 1, Thông tư số 29/2015/TT-BYT</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Cấp giấy chứng nhận là lương y cho các đối tượng quy định tại Khoản 4, Điều 1, Thông tư số 29/2015/TT-BYT</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Cấp giấy chứng nhận là lương y cho các đối tượng quy định tại Khoản 5, Điều 1, Thông tư số 29/2015/TT-BYT</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Cấp giấy chứng nhận là lương y cho các đối tượng quy định tại Khoản 6, Điều 1, Thông tư số 29/2015/TT-BYT</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Cấp lại giấy chứng nhận là lương y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Cho phép cá nhân trong nước, nước ngoài tổ chức khám bệnh, chữa bệnh nhân đạo tại cơ sở khám bệnh, chữa bệnh trực thuộc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Cho phép Đoàn khám bệnh, chữa bệnh trong nước tổ chức khám bệnh, chữa bệnh nhân đạo tại cơ sở khám bệnh, chữa bệnh trực thuộc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Cho phép Đoàn khám bệnh, chữa bệnh nước ngoài tổ chức khám bệnh, chữa bệnh nhân đạo tại cơ sở khám bệnh, chữa bệnh trực thuộc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Cho phép đội khám bệnh, chữa bệnh chữ thập đỏ lưu động tổ chức khám bệnh, chữa bệnh nhân đạo tại cơ sở khám bệnh, chữa bệnh trực thuộc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Cấp giấy phép hoạt động khám bệnh, chữa bệnh nhân đạo đối với bệnh viện thuộc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Cấp giấy phép hoạt động khám bệnh, chữa bệnh nhân đạo đối với Phòng khám đa khoa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Cấp giấy phép hoạt động khám bệnh, chữa bệnh nhân đạo đối với Phòng khám chuyên khoa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Cấp giấy phép hoạt động khám bệnh, chữa bệnh nhân đạo đối với Phòng chẩn trị y học cổ truyền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Cấp giấy phép hoạt động khám bệnh, chữa bệnh nhân đạo đối với Nhà Hộ Sinh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Cấp giấy phép hoạt động khám bệnh, chữa bệnh nhân đạo đối với phòng khám chẩn đoán hình ảnh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Cấp giấy phép hoạt động khám bệnh, chữa bệnh nhân đạo đối với phòng xét nghiệm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 xml:space="preserve">Cấp giấy phép hoạt động khám bệnh, chữa bệnh nhân đạo đối với cơ sở dịch vụ tiêm (chích), thay băng, đếm mạch, </w:t>
            </w:r>
            <w:r w:rsidRPr="000F0E7B">
              <w:rPr>
                <w:rFonts w:ascii="Times New Roman" w:eastAsia="Times New Roman" w:hAnsi="Times New Roman" w:cs="Times New Roman"/>
                <w:color w:val="000000" w:themeColor="text1"/>
                <w:sz w:val="26"/>
                <w:szCs w:val="26"/>
              </w:rPr>
              <w:lastRenderedPageBreak/>
              <w:t>đo nhiệt độ, đo huyết áp</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Cấp giấy phép hoạt động khám bệnh, chữa bệnh nhân đạo đối với cơ sở dịch vụ làm răng giả</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Cấp giấy phép hoạt động khám bệnh, chữa bệnh nhân đạo đối với cơ sở dịch vụ chăm sóc sức khoẻ tại nhà</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Cấp giấy phép hoạt động khám bệnh, chữa bệnh nhân đạo đối với cơ sở dịch vụ kính thuốc</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Cấp giấy phép hoạt động khám bệnh, chữa bệnh nhân đạo đối với cơ sở dịch vụ cấp cứu, hỗ trợ vận chuyển người bệnh</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Cấp giấy phép hoạt động đối khám bệnh, chữa bệnh nhân đạo với trạm xá, trạm y tế cấp xã</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 xml:space="preserve">Cấp giấy phép hoạt động khám bệnh, chữa bệnh nhân đạo đối với cơ sở khám bệnh, chữa bệnh thuộc thẩm quyền của Sở Y tế khi thay đổi địa điểm  </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 xml:space="preserve">Cấp giấy phép hoạt động khám bệnh, chữa bệnh nhân đạo đối với cơ sở khám bệnh, chữa bệnh thuộc thẩm quyền của Sở Y tế khi thay đổi tên cơ sở khám chữa bệnh  </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 xml:space="preserve">Cấp lại giấy phép hoạt động khám bệnh, chữa bệnh nhân đạo đối với cơ sở khám bệnh, chữa bệnh thuộc thẩm quyền của Sở Y tế do bị mất hoặc hư hỏng hoặc giấy phép bị thu hồi do cấp không đúng thẩm quyền  </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tcPr>
          <w:p w:rsidR="00695391" w:rsidRPr="000F0E7B" w:rsidRDefault="00695391" w:rsidP="00695391">
            <w:pPr>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 xml:space="preserve">Điều chỉnh giấy phép hoạt động khám bệnh, chữa bệnh nhân đạo đối với cơ sở khám bệnh, chữa bệnh trực thuộc Sở Y tế khi thay đổi quy mô giường bệnh hoặc cơ cấu tổ chức hoặc phạm vi hoạt động chuyên môn.    </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jc w:val="both"/>
              <w:rPr>
                <w:rFonts w:ascii="Times New Roman" w:eastAsia="SimSun" w:hAnsi="Times New Roman" w:cs="Times New Roman"/>
                <w:noProof/>
                <w:color w:val="000000" w:themeColor="text1"/>
                <w:sz w:val="26"/>
                <w:szCs w:val="26"/>
                <w:lang w:eastAsia="zh-CN"/>
              </w:rPr>
            </w:pPr>
            <w:r w:rsidRPr="000F0E7B">
              <w:rPr>
                <w:rFonts w:ascii="Times New Roman" w:eastAsia="SimSun" w:hAnsi="Times New Roman" w:cs="Times New Roman"/>
                <w:noProof/>
                <w:color w:val="000000" w:themeColor="text1"/>
                <w:sz w:val="26"/>
                <w:szCs w:val="26"/>
                <w:lang w:eastAsia="zh-CN"/>
              </w:rPr>
              <w:t>Thủ tục cấp Giấy chứng nhận sức khỏe cho thuyền viên làm việc trên tàu biển Việt Nam đủ tiêu chuẩn sức khoẻ theo quy định tại Phụ lục số I, Thông tư số 22/2017/TT-BYT của</w:t>
            </w:r>
            <w:r w:rsidR="00B76BEC" w:rsidRPr="000F0E7B">
              <w:rPr>
                <w:rFonts w:ascii="Times New Roman" w:eastAsia="SimSun" w:hAnsi="Times New Roman" w:cs="Times New Roman"/>
                <w:noProof/>
                <w:color w:val="000000" w:themeColor="text1"/>
                <w:sz w:val="26"/>
                <w:szCs w:val="26"/>
                <w:lang w:eastAsia="zh-CN"/>
              </w:rPr>
              <w:t xml:space="preserve"> </w:t>
            </w:r>
            <w:r w:rsidRPr="000F0E7B">
              <w:rPr>
                <w:rFonts w:ascii="Times New Roman" w:eastAsia="SimSun" w:hAnsi="Times New Roman" w:cs="Times New Roman"/>
                <w:noProof/>
                <w:color w:val="000000" w:themeColor="text1"/>
                <w:sz w:val="26"/>
                <w:szCs w:val="26"/>
                <w:lang w:eastAsia="zh-CN"/>
              </w:rPr>
              <w:t xml:space="preserve"> Bộ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jc w:val="both"/>
              <w:rPr>
                <w:rFonts w:ascii="Times New Roman" w:eastAsia="SimSun" w:hAnsi="Times New Roman" w:cs="Times New Roman"/>
                <w:noProof/>
                <w:color w:val="000000" w:themeColor="text1"/>
                <w:sz w:val="26"/>
                <w:szCs w:val="26"/>
                <w:lang w:eastAsia="zh-CN"/>
              </w:rPr>
            </w:pPr>
            <w:r w:rsidRPr="000F0E7B">
              <w:rPr>
                <w:rFonts w:ascii="Times New Roman" w:eastAsia="SimSun" w:hAnsi="Times New Roman" w:cs="Times New Roman"/>
                <w:noProof/>
                <w:color w:val="000000" w:themeColor="text1"/>
                <w:sz w:val="26"/>
                <w:szCs w:val="26"/>
                <w:lang w:val="es-ES" w:eastAsia="zh-CN"/>
              </w:rPr>
              <w:t>Thủ tục cấp Giấy chứng nhận sức khỏe cho thuyền viên làm việc trên tàu biển Việt Nam đủ tiêu chuẩn sức khỏe theo quy định tại P</w:t>
            </w:r>
            <w:r w:rsidRPr="000F0E7B">
              <w:rPr>
                <w:rFonts w:ascii="Times New Roman" w:eastAsia="SimSun" w:hAnsi="Times New Roman" w:cs="Times New Roman"/>
                <w:noProof/>
                <w:color w:val="000000" w:themeColor="text1"/>
                <w:sz w:val="26"/>
                <w:szCs w:val="26"/>
                <w:lang w:eastAsia="zh-CN"/>
              </w:rPr>
              <w:t>hụ lục số I nhưng mắc một hoặc một số bệnh, tật quy định tại Phụ lục số II, Thông tư số 22/2017/TT-BYT của Bộ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jc w:val="both"/>
              <w:rPr>
                <w:rFonts w:ascii="Times New Roman" w:eastAsia="SimSun" w:hAnsi="Times New Roman" w:cs="Times New Roman"/>
                <w:noProof/>
                <w:color w:val="000000" w:themeColor="text1"/>
                <w:sz w:val="26"/>
                <w:szCs w:val="26"/>
                <w:lang w:eastAsia="zh-CN"/>
              </w:rPr>
            </w:pPr>
            <w:r w:rsidRPr="000F0E7B">
              <w:rPr>
                <w:rFonts w:ascii="Times New Roman" w:eastAsia="SimSun" w:hAnsi="Times New Roman" w:cs="Times New Roman"/>
                <w:noProof/>
                <w:color w:val="000000" w:themeColor="text1"/>
                <w:sz w:val="26"/>
                <w:szCs w:val="26"/>
                <w:lang w:eastAsia="zh-CN"/>
              </w:rPr>
              <w:t>Thủ tục khám sức khoẻ định kỳ đối với thuyền viên làm việc trên tàu biển Việt Nam</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jc w:val="both"/>
              <w:rPr>
                <w:rFonts w:ascii="Times New Roman" w:eastAsia="SimSun" w:hAnsi="Times New Roman" w:cs="Times New Roman"/>
                <w:noProof/>
                <w:color w:val="000000" w:themeColor="text1"/>
                <w:sz w:val="26"/>
                <w:szCs w:val="26"/>
                <w:lang w:eastAsia="zh-CN"/>
              </w:rPr>
            </w:pPr>
            <w:r w:rsidRPr="000F0E7B">
              <w:rPr>
                <w:rFonts w:ascii="Times New Roman" w:eastAsia="SimSun" w:hAnsi="Times New Roman" w:cs="Times New Roman"/>
                <w:noProof/>
                <w:color w:val="000000" w:themeColor="text1"/>
                <w:sz w:val="26"/>
                <w:szCs w:val="26"/>
                <w:lang w:eastAsia="zh-CN"/>
              </w:rPr>
              <w:t>Thủ tục công bố cơ sở đủ điều kiện thực hiện khám sức khỏe cho thuyền viên làm việc trên tàu biển Việt Nam</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jc w:val="both"/>
              <w:rPr>
                <w:rFonts w:ascii="Times New Roman" w:eastAsia="Times New Roman" w:hAnsi="Times New Roman" w:cs="Times New Roman"/>
                <w:color w:val="000000" w:themeColor="text1"/>
                <w:sz w:val="26"/>
                <w:szCs w:val="26"/>
                <w:lang w:val="nl-NL"/>
              </w:rPr>
            </w:pPr>
            <w:r w:rsidRPr="000F0E7B">
              <w:rPr>
                <w:rFonts w:ascii="Times New Roman" w:eastAsia="Times New Roman" w:hAnsi="Times New Roman" w:cs="Times New Roman"/>
                <w:color w:val="000000" w:themeColor="text1"/>
                <w:sz w:val="26"/>
                <w:szCs w:val="26"/>
                <w:lang w:val="nl-NL"/>
              </w:rPr>
              <w:t>Thủ tục cấp Giấy xác nhận nội dung quảng cáo dịch vụ khám bệnh, chữa bệnh thuộc thẩm quyền của Sở Y tế</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jc w:val="both"/>
              <w:rPr>
                <w:rFonts w:ascii="Times New Roman" w:eastAsia="Times New Roman" w:hAnsi="Times New Roman" w:cs="Times New Roman"/>
                <w:color w:val="000000" w:themeColor="text1"/>
                <w:sz w:val="26"/>
                <w:szCs w:val="26"/>
                <w:lang w:val="nl-NL"/>
              </w:rPr>
            </w:pPr>
            <w:r w:rsidRPr="000F0E7B">
              <w:rPr>
                <w:rFonts w:ascii="Times New Roman" w:eastAsia="Times New Roman" w:hAnsi="Times New Roman" w:cs="Times New Roman"/>
                <w:color w:val="000000" w:themeColor="text1"/>
                <w:sz w:val="26"/>
                <w:szCs w:val="26"/>
                <w:lang w:val="nl-NL"/>
              </w:rPr>
              <w:t>Thủ tục cấp lại Giấy xác nhận nội dung quảng cáo dịch vụ khám bệnh, chữa bệnh thuộc thẩm quyền của Sở Y tế trong trường hợp bị mất hoặc hư hỏng</w:t>
            </w:r>
          </w:p>
        </w:tc>
        <w:tc>
          <w:tcPr>
            <w:tcW w:w="1134" w:type="dxa"/>
          </w:tcPr>
          <w:p w:rsidR="00695391" w:rsidRPr="000F0E7B" w:rsidRDefault="00695391" w:rsidP="00D17DDD">
            <w:pPr>
              <w:pStyle w:val="FootnoteText"/>
              <w:jc w:val="both"/>
              <w:rPr>
                <w:color w:val="000000" w:themeColor="text1"/>
                <w:sz w:val="26"/>
                <w:szCs w:val="26"/>
              </w:rPr>
            </w:pPr>
          </w:p>
        </w:tc>
      </w:tr>
      <w:tr w:rsidR="00695391" w:rsidRPr="000F0E7B" w:rsidTr="005301AC">
        <w:tc>
          <w:tcPr>
            <w:tcW w:w="1242" w:type="dxa"/>
          </w:tcPr>
          <w:p w:rsidR="00695391" w:rsidRPr="000F0E7B" w:rsidRDefault="00695391" w:rsidP="00695391">
            <w:pPr>
              <w:pStyle w:val="FootnoteText"/>
              <w:numPr>
                <w:ilvl w:val="0"/>
                <w:numId w:val="2"/>
              </w:numPr>
              <w:jc w:val="both"/>
              <w:rPr>
                <w:color w:val="000000" w:themeColor="text1"/>
                <w:sz w:val="26"/>
                <w:szCs w:val="26"/>
              </w:rPr>
            </w:pPr>
          </w:p>
        </w:tc>
        <w:tc>
          <w:tcPr>
            <w:tcW w:w="12333" w:type="dxa"/>
            <w:vAlign w:val="center"/>
          </w:tcPr>
          <w:p w:rsidR="00695391" w:rsidRPr="000F0E7B" w:rsidRDefault="00695391" w:rsidP="00695391">
            <w:pPr>
              <w:spacing w:before="60" w:after="60"/>
              <w:jc w:val="both"/>
              <w:rPr>
                <w:rFonts w:ascii="Times New Roman" w:eastAsia="Times New Roman" w:hAnsi="Times New Roman" w:cs="Times New Roman"/>
                <w:color w:val="000000" w:themeColor="text1"/>
                <w:sz w:val="26"/>
                <w:szCs w:val="26"/>
                <w:lang w:val="nl-NL"/>
              </w:rPr>
            </w:pPr>
            <w:r w:rsidRPr="000F0E7B">
              <w:rPr>
                <w:rFonts w:ascii="Times New Roman" w:eastAsia="Times New Roman" w:hAnsi="Times New Roman" w:cs="Times New Roman"/>
                <w:color w:val="000000" w:themeColor="text1"/>
                <w:sz w:val="26"/>
                <w:szCs w:val="26"/>
                <w:lang w:val="nl-NL"/>
              </w:rPr>
              <w:t>Thủ tục cấp lại Giấy xác nhận nội dung quảng cáo dịch vụ khám bệnh, chữa bệnh thuộc thẩm quyền của Sở Y tế khi có thay đổi về tên, địa chỉ của tổ chức, cá nhân chịu trách nhiệm và không thay đổi nội dung quảng cáo</w:t>
            </w:r>
          </w:p>
        </w:tc>
        <w:tc>
          <w:tcPr>
            <w:tcW w:w="1134" w:type="dxa"/>
          </w:tcPr>
          <w:p w:rsidR="00695391" w:rsidRPr="000F0E7B" w:rsidRDefault="00695391" w:rsidP="00D17DDD">
            <w:pPr>
              <w:pStyle w:val="FootnoteText"/>
              <w:jc w:val="both"/>
              <w:rPr>
                <w:color w:val="000000" w:themeColor="text1"/>
                <w:sz w:val="26"/>
                <w:szCs w:val="26"/>
              </w:rPr>
            </w:pPr>
          </w:p>
        </w:tc>
      </w:tr>
      <w:tr w:rsidR="0086493D" w:rsidRPr="000F0E7B" w:rsidTr="005301AC">
        <w:tc>
          <w:tcPr>
            <w:tcW w:w="1242" w:type="dxa"/>
          </w:tcPr>
          <w:p w:rsidR="0086493D" w:rsidRPr="000F0E7B" w:rsidRDefault="0086493D" w:rsidP="00695391">
            <w:pPr>
              <w:pStyle w:val="FootnoteText"/>
              <w:numPr>
                <w:ilvl w:val="0"/>
                <w:numId w:val="2"/>
              </w:numPr>
              <w:jc w:val="both"/>
              <w:rPr>
                <w:color w:val="000000" w:themeColor="text1"/>
                <w:sz w:val="26"/>
                <w:szCs w:val="26"/>
              </w:rPr>
            </w:pPr>
          </w:p>
        </w:tc>
        <w:tc>
          <w:tcPr>
            <w:tcW w:w="12333" w:type="dxa"/>
            <w:vAlign w:val="center"/>
          </w:tcPr>
          <w:p w:rsidR="0086493D" w:rsidRPr="000F0E7B" w:rsidRDefault="0086493D" w:rsidP="00C760B5">
            <w:pPr>
              <w:rPr>
                <w:rFonts w:ascii="Times New Roman" w:eastAsia="Times New Roman" w:hAnsi="Times New Roman" w:cs="Times New Roman"/>
                <w:color w:val="000000" w:themeColor="text1"/>
                <w:sz w:val="26"/>
                <w:szCs w:val="26"/>
                <w:lang w:val="nl-NL"/>
              </w:rPr>
            </w:pPr>
            <w:r w:rsidRPr="000F0E7B">
              <w:rPr>
                <w:rFonts w:ascii="Times New Roman" w:eastAsia="Times New Roman" w:hAnsi="Times New Roman" w:cs="Times New Roman"/>
                <w:color w:val="000000" w:themeColor="text1"/>
                <w:sz w:val="26"/>
                <w:szCs w:val="26"/>
                <w:lang w:val="nl-NL"/>
              </w:rPr>
              <w:t>Thủ tục cấp lại Giấy chứng sinh đối với trường hợp bị nhầm lẫn khi ghi chép giấy chứng sinh</w:t>
            </w:r>
          </w:p>
        </w:tc>
        <w:tc>
          <w:tcPr>
            <w:tcW w:w="1134" w:type="dxa"/>
          </w:tcPr>
          <w:p w:rsidR="0086493D" w:rsidRPr="000F0E7B" w:rsidRDefault="0086493D" w:rsidP="00D17DDD">
            <w:pPr>
              <w:pStyle w:val="FootnoteText"/>
              <w:jc w:val="both"/>
              <w:rPr>
                <w:color w:val="000000" w:themeColor="text1"/>
                <w:sz w:val="26"/>
                <w:szCs w:val="26"/>
              </w:rPr>
            </w:pPr>
          </w:p>
        </w:tc>
      </w:tr>
      <w:tr w:rsidR="0086493D" w:rsidRPr="000F0E7B" w:rsidTr="005301AC">
        <w:tc>
          <w:tcPr>
            <w:tcW w:w="1242" w:type="dxa"/>
          </w:tcPr>
          <w:p w:rsidR="0086493D" w:rsidRPr="000F0E7B" w:rsidRDefault="0086493D" w:rsidP="00695391">
            <w:pPr>
              <w:pStyle w:val="FootnoteText"/>
              <w:numPr>
                <w:ilvl w:val="0"/>
                <w:numId w:val="2"/>
              </w:numPr>
              <w:jc w:val="both"/>
              <w:rPr>
                <w:color w:val="000000" w:themeColor="text1"/>
                <w:sz w:val="26"/>
                <w:szCs w:val="26"/>
              </w:rPr>
            </w:pPr>
          </w:p>
        </w:tc>
        <w:tc>
          <w:tcPr>
            <w:tcW w:w="12333" w:type="dxa"/>
            <w:vAlign w:val="center"/>
          </w:tcPr>
          <w:p w:rsidR="0086493D" w:rsidRPr="000F0E7B" w:rsidRDefault="0086493D" w:rsidP="00C760B5">
            <w:pPr>
              <w:rPr>
                <w:rFonts w:ascii="Times New Roman" w:eastAsia="Times New Roman" w:hAnsi="Times New Roman" w:cs="Times New Roman"/>
                <w:color w:val="000000" w:themeColor="text1"/>
                <w:sz w:val="26"/>
                <w:szCs w:val="26"/>
                <w:lang w:val="nl-NL"/>
              </w:rPr>
            </w:pPr>
            <w:r w:rsidRPr="000F0E7B">
              <w:rPr>
                <w:rFonts w:ascii="Times New Roman" w:eastAsia="Times New Roman" w:hAnsi="Times New Roman" w:cs="Times New Roman"/>
                <w:color w:val="000000" w:themeColor="text1"/>
                <w:sz w:val="26"/>
                <w:szCs w:val="26"/>
                <w:lang w:val="nl-NL"/>
              </w:rPr>
              <w:t>Thủ tục cấp Giấy chứng sinh cho trường hợp trẻ em được sinh ra tại nhà hoặc tại nơi khác mà không phải là cơ sở khám bệnh, chữa bệnh</w:t>
            </w:r>
          </w:p>
        </w:tc>
        <w:tc>
          <w:tcPr>
            <w:tcW w:w="1134" w:type="dxa"/>
          </w:tcPr>
          <w:p w:rsidR="0086493D" w:rsidRPr="000F0E7B" w:rsidRDefault="0086493D" w:rsidP="00D17DDD">
            <w:pPr>
              <w:pStyle w:val="FootnoteText"/>
              <w:jc w:val="both"/>
              <w:rPr>
                <w:color w:val="000000" w:themeColor="text1"/>
                <w:sz w:val="26"/>
                <w:szCs w:val="26"/>
              </w:rPr>
            </w:pPr>
          </w:p>
        </w:tc>
      </w:tr>
      <w:tr w:rsidR="0086493D" w:rsidRPr="000F0E7B" w:rsidTr="005301AC">
        <w:tc>
          <w:tcPr>
            <w:tcW w:w="1242" w:type="dxa"/>
          </w:tcPr>
          <w:p w:rsidR="0086493D" w:rsidRPr="000F0E7B" w:rsidRDefault="0086493D" w:rsidP="00695391">
            <w:pPr>
              <w:pStyle w:val="FootnoteText"/>
              <w:numPr>
                <w:ilvl w:val="0"/>
                <w:numId w:val="2"/>
              </w:numPr>
              <w:jc w:val="both"/>
              <w:rPr>
                <w:color w:val="000000" w:themeColor="text1"/>
                <w:sz w:val="26"/>
                <w:szCs w:val="26"/>
              </w:rPr>
            </w:pPr>
          </w:p>
        </w:tc>
        <w:tc>
          <w:tcPr>
            <w:tcW w:w="12333" w:type="dxa"/>
            <w:vAlign w:val="center"/>
          </w:tcPr>
          <w:p w:rsidR="0086493D" w:rsidRPr="000F0E7B" w:rsidRDefault="0086493D" w:rsidP="00C760B5">
            <w:pPr>
              <w:rPr>
                <w:rFonts w:ascii="Times New Roman" w:eastAsia="Times New Roman" w:hAnsi="Times New Roman" w:cs="Times New Roman"/>
                <w:color w:val="000000" w:themeColor="text1"/>
                <w:sz w:val="26"/>
                <w:szCs w:val="26"/>
                <w:lang w:val="nl-NL"/>
              </w:rPr>
            </w:pPr>
            <w:r w:rsidRPr="000F0E7B">
              <w:rPr>
                <w:rFonts w:ascii="Times New Roman" w:eastAsia="Times New Roman" w:hAnsi="Times New Roman" w:cs="Times New Roman"/>
                <w:color w:val="000000" w:themeColor="text1"/>
                <w:sz w:val="26"/>
                <w:szCs w:val="26"/>
                <w:lang w:val="nl-NL"/>
              </w:rPr>
              <w:t>Thủ tục cấp lại Giấy chứng sinh đối với trường hợp bị mất hoặc bị hư hỏng</w:t>
            </w:r>
          </w:p>
        </w:tc>
        <w:tc>
          <w:tcPr>
            <w:tcW w:w="1134" w:type="dxa"/>
          </w:tcPr>
          <w:p w:rsidR="0086493D" w:rsidRPr="000F0E7B" w:rsidRDefault="0086493D" w:rsidP="00D17DDD">
            <w:pPr>
              <w:pStyle w:val="FootnoteText"/>
              <w:jc w:val="both"/>
              <w:rPr>
                <w:color w:val="000000" w:themeColor="text1"/>
                <w:sz w:val="26"/>
                <w:szCs w:val="26"/>
              </w:rPr>
            </w:pPr>
          </w:p>
        </w:tc>
      </w:tr>
      <w:tr w:rsidR="0086493D" w:rsidRPr="000F0E7B" w:rsidTr="005301AC">
        <w:tc>
          <w:tcPr>
            <w:tcW w:w="1242" w:type="dxa"/>
          </w:tcPr>
          <w:p w:rsidR="0086493D" w:rsidRPr="000F0E7B" w:rsidRDefault="0086493D" w:rsidP="00695391">
            <w:pPr>
              <w:pStyle w:val="FootnoteText"/>
              <w:numPr>
                <w:ilvl w:val="0"/>
                <w:numId w:val="2"/>
              </w:numPr>
              <w:jc w:val="both"/>
              <w:rPr>
                <w:color w:val="000000" w:themeColor="text1"/>
                <w:sz w:val="26"/>
                <w:szCs w:val="26"/>
              </w:rPr>
            </w:pPr>
          </w:p>
        </w:tc>
        <w:tc>
          <w:tcPr>
            <w:tcW w:w="12333" w:type="dxa"/>
          </w:tcPr>
          <w:p w:rsidR="0086493D" w:rsidRPr="000F0E7B" w:rsidRDefault="0086493D" w:rsidP="00695391">
            <w:pPr>
              <w:spacing w:line="276" w:lineRule="auto"/>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lang w:val="es-ES"/>
              </w:rPr>
              <w:t>Thủ tục công bố cơ sở xét nghiệm đạt tiêu chuẩn an toàn sinh học cấp I, cấp II</w:t>
            </w:r>
          </w:p>
        </w:tc>
        <w:tc>
          <w:tcPr>
            <w:tcW w:w="1134" w:type="dxa"/>
          </w:tcPr>
          <w:p w:rsidR="0086493D" w:rsidRPr="000F0E7B" w:rsidRDefault="0086493D" w:rsidP="00D17DDD">
            <w:pPr>
              <w:pStyle w:val="FootnoteText"/>
              <w:jc w:val="both"/>
              <w:rPr>
                <w:color w:val="000000" w:themeColor="text1"/>
                <w:sz w:val="26"/>
                <w:szCs w:val="26"/>
              </w:rPr>
            </w:pPr>
          </w:p>
        </w:tc>
      </w:tr>
      <w:tr w:rsidR="0086493D" w:rsidRPr="000F0E7B" w:rsidTr="005301AC">
        <w:tc>
          <w:tcPr>
            <w:tcW w:w="1242" w:type="dxa"/>
          </w:tcPr>
          <w:p w:rsidR="0086493D" w:rsidRPr="000F0E7B" w:rsidRDefault="0086493D" w:rsidP="00695391">
            <w:pPr>
              <w:pStyle w:val="FootnoteText"/>
              <w:numPr>
                <w:ilvl w:val="0"/>
                <w:numId w:val="2"/>
              </w:numPr>
              <w:jc w:val="both"/>
              <w:rPr>
                <w:color w:val="000000" w:themeColor="text1"/>
                <w:sz w:val="26"/>
                <w:szCs w:val="26"/>
              </w:rPr>
            </w:pPr>
          </w:p>
        </w:tc>
        <w:tc>
          <w:tcPr>
            <w:tcW w:w="12333" w:type="dxa"/>
          </w:tcPr>
          <w:p w:rsidR="0086493D" w:rsidRPr="000F0E7B" w:rsidRDefault="0086493D" w:rsidP="00695391">
            <w:pPr>
              <w:spacing w:line="276" w:lineRule="auto"/>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 xml:space="preserve">Thủ tục </w:t>
            </w:r>
            <w:r w:rsidRPr="000F0E7B">
              <w:rPr>
                <w:rFonts w:ascii="Times New Roman" w:hAnsi="Times New Roman" w:cs="Times New Roman"/>
                <w:color w:val="000000" w:themeColor="text1"/>
                <w:sz w:val="26"/>
                <w:szCs w:val="26"/>
                <w:lang w:val="es-ES"/>
              </w:rPr>
              <w:t>công bố cơ sở đủ điều kiện tiêm chủng</w:t>
            </w:r>
          </w:p>
        </w:tc>
        <w:tc>
          <w:tcPr>
            <w:tcW w:w="1134" w:type="dxa"/>
          </w:tcPr>
          <w:p w:rsidR="0086493D" w:rsidRPr="000F0E7B" w:rsidRDefault="0086493D" w:rsidP="00D17DDD">
            <w:pPr>
              <w:pStyle w:val="FootnoteText"/>
              <w:jc w:val="both"/>
              <w:rPr>
                <w:color w:val="000000" w:themeColor="text1"/>
                <w:sz w:val="26"/>
                <w:szCs w:val="26"/>
              </w:rPr>
            </w:pPr>
          </w:p>
        </w:tc>
      </w:tr>
      <w:tr w:rsidR="0086493D" w:rsidRPr="000F0E7B" w:rsidTr="005301AC">
        <w:tc>
          <w:tcPr>
            <w:tcW w:w="1242" w:type="dxa"/>
          </w:tcPr>
          <w:p w:rsidR="0086493D" w:rsidRPr="000F0E7B" w:rsidRDefault="0086493D" w:rsidP="00695391">
            <w:pPr>
              <w:pStyle w:val="FootnoteText"/>
              <w:numPr>
                <w:ilvl w:val="0"/>
                <w:numId w:val="2"/>
              </w:numPr>
              <w:jc w:val="both"/>
              <w:rPr>
                <w:color w:val="000000" w:themeColor="text1"/>
                <w:sz w:val="26"/>
                <w:szCs w:val="26"/>
              </w:rPr>
            </w:pPr>
          </w:p>
        </w:tc>
        <w:tc>
          <w:tcPr>
            <w:tcW w:w="12333" w:type="dxa"/>
          </w:tcPr>
          <w:p w:rsidR="0086493D" w:rsidRPr="000F0E7B" w:rsidRDefault="0086493D" w:rsidP="00695391">
            <w:pPr>
              <w:spacing w:line="276" w:lineRule="auto"/>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 xml:space="preserve">Thủ tục </w:t>
            </w:r>
            <w:r w:rsidRPr="000F0E7B">
              <w:rPr>
                <w:rFonts w:ascii="Times New Roman" w:hAnsi="Times New Roman" w:cs="Times New Roman"/>
                <w:color w:val="000000" w:themeColor="text1"/>
                <w:sz w:val="26"/>
                <w:szCs w:val="26"/>
                <w:lang w:val="es-ES"/>
              </w:rPr>
              <w:t>xác định trường hợp được bồi thường khi xảy ra tai biến trong tiêm chủng</w:t>
            </w:r>
          </w:p>
        </w:tc>
        <w:tc>
          <w:tcPr>
            <w:tcW w:w="1134" w:type="dxa"/>
          </w:tcPr>
          <w:p w:rsidR="0086493D" w:rsidRPr="000F0E7B" w:rsidRDefault="0086493D" w:rsidP="00D17DDD">
            <w:pPr>
              <w:pStyle w:val="FootnoteText"/>
              <w:jc w:val="both"/>
              <w:rPr>
                <w:color w:val="000000" w:themeColor="text1"/>
                <w:sz w:val="26"/>
                <w:szCs w:val="26"/>
              </w:rPr>
            </w:pPr>
          </w:p>
        </w:tc>
      </w:tr>
      <w:tr w:rsidR="0086493D" w:rsidRPr="000F0E7B" w:rsidTr="005301AC">
        <w:tc>
          <w:tcPr>
            <w:tcW w:w="1242" w:type="dxa"/>
          </w:tcPr>
          <w:p w:rsidR="0086493D" w:rsidRPr="000F0E7B" w:rsidRDefault="0086493D" w:rsidP="00695391">
            <w:pPr>
              <w:pStyle w:val="FootnoteText"/>
              <w:numPr>
                <w:ilvl w:val="0"/>
                <w:numId w:val="2"/>
              </w:numPr>
              <w:jc w:val="both"/>
              <w:rPr>
                <w:color w:val="000000" w:themeColor="text1"/>
                <w:sz w:val="26"/>
                <w:szCs w:val="26"/>
              </w:rPr>
            </w:pPr>
          </w:p>
        </w:tc>
        <w:tc>
          <w:tcPr>
            <w:tcW w:w="12333" w:type="dxa"/>
          </w:tcPr>
          <w:p w:rsidR="0086493D" w:rsidRPr="000F0E7B" w:rsidRDefault="0086493D" w:rsidP="00695391">
            <w:pPr>
              <w:spacing w:line="276" w:lineRule="auto"/>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cấp Giấy chứng nhận bị phơi nhiễm với HIV do tai nạn rủi ro nghề nghiệp</w:t>
            </w:r>
          </w:p>
        </w:tc>
        <w:tc>
          <w:tcPr>
            <w:tcW w:w="1134" w:type="dxa"/>
          </w:tcPr>
          <w:p w:rsidR="0086493D" w:rsidRPr="000F0E7B" w:rsidRDefault="0086493D" w:rsidP="00D17DDD">
            <w:pPr>
              <w:pStyle w:val="FootnoteText"/>
              <w:jc w:val="both"/>
              <w:rPr>
                <w:color w:val="000000" w:themeColor="text1"/>
                <w:sz w:val="26"/>
                <w:szCs w:val="26"/>
              </w:rPr>
            </w:pPr>
          </w:p>
        </w:tc>
      </w:tr>
      <w:tr w:rsidR="0086493D" w:rsidRPr="000F0E7B" w:rsidTr="005301AC">
        <w:tc>
          <w:tcPr>
            <w:tcW w:w="1242" w:type="dxa"/>
          </w:tcPr>
          <w:p w:rsidR="0086493D" w:rsidRPr="000F0E7B" w:rsidRDefault="0086493D" w:rsidP="00695391">
            <w:pPr>
              <w:pStyle w:val="FootnoteText"/>
              <w:numPr>
                <w:ilvl w:val="0"/>
                <w:numId w:val="2"/>
              </w:numPr>
              <w:jc w:val="both"/>
              <w:rPr>
                <w:color w:val="000000" w:themeColor="text1"/>
                <w:sz w:val="26"/>
                <w:szCs w:val="26"/>
              </w:rPr>
            </w:pPr>
          </w:p>
        </w:tc>
        <w:tc>
          <w:tcPr>
            <w:tcW w:w="12333" w:type="dxa"/>
          </w:tcPr>
          <w:p w:rsidR="0086493D" w:rsidRPr="000F0E7B" w:rsidRDefault="0086493D" w:rsidP="00695391">
            <w:pPr>
              <w:spacing w:line="276" w:lineRule="auto"/>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cấp Giấy chứng nhận bị nhiễm HIV do tai nạn rủi ro nghề nghiệp</w:t>
            </w:r>
          </w:p>
        </w:tc>
        <w:tc>
          <w:tcPr>
            <w:tcW w:w="1134" w:type="dxa"/>
          </w:tcPr>
          <w:p w:rsidR="0086493D" w:rsidRPr="000F0E7B" w:rsidRDefault="0086493D" w:rsidP="00D17DDD">
            <w:pPr>
              <w:pStyle w:val="FootnoteText"/>
              <w:jc w:val="both"/>
              <w:rPr>
                <w:color w:val="000000" w:themeColor="text1"/>
                <w:sz w:val="26"/>
                <w:szCs w:val="26"/>
              </w:rPr>
            </w:pPr>
          </w:p>
        </w:tc>
      </w:tr>
      <w:tr w:rsidR="0086493D" w:rsidRPr="000F0E7B" w:rsidTr="005301AC">
        <w:tc>
          <w:tcPr>
            <w:tcW w:w="1242" w:type="dxa"/>
          </w:tcPr>
          <w:p w:rsidR="0086493D" w:rsidRPr="000F0E7B" w:rsidRDefault="0086493D" w:rsidP="00695391">
            <w:pPr>
              <w:pStyle w:val="FootnoteText"/>
              <w:numPr>
                <w:ilvl w:val="0"/>
                <w:numId w:val="2"/>
              </w:numPr>
              <w:jc w:val="both"/>
              <w:rPr>
                <w:color w:val="000000" w:themeColor="text1"/>
                <w:sz w:val="26"/>
                <w:szCs w:val="26"/>
              </w:rPr>
            </w:pPr>
          </w:p>
        </w:tc>
        <w:tc>
          <w:tcPr>
            <w:tcW w:w="12333" w:type="dxa"/>
          </w:tcPr>
          <w:p w:rsidR="0086493D" w:rsidRPr="000F0E7B" w:rsidRDefault="0086493D" w:rsidP="00695391">
            <w:pPr>
              <w:spacing w:line="276" w:lineRule="auto"/>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thông báo hoạt động đối với tổ chức tư vấn về phòng, chống HIV/AIDS</w:t>
            </w:r>
          </w:p>
        </w:tc>
        <w:tc>
          <w:tcPr>
            <w:tcW w:w="1134" w:type="dxa"/>
          </w:tcPr>
          <w:p w:rsidR="0086493D" w:rsidRPr="000F0E7B" w:rsidRDefault="0086493D"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C760B5">
            <w:pPr>
              <w:pStyle w:val="NormalWeb"/>
              <w:spacing w:before="0" w:beforeAutospacing="0"/>
              <w:ind w:left="142" w:right="142" w:firstLine="1"/>
              <w:jc w:val="both"/>
              <w:rPr>
                <w:color w:val="000000" w:themeColor="text1"/>
                <w:sz w:val="26"/>
                <w:szCs w:val="26"/>
                <w:lang w:val="vi-VN"/>
              </w:rPr>
            </w:pPr>
            <w:r w:rsidRPr="000F0E7B">
              <w:rPr>
                <w:color w:val="000000" w:themeColor="text1"/>
                <w:sz w:val="26"/>
                <w:szCs w:val="26"/>
              </w:rPr>
              <w:t>Thủ tục c</w:t>
            </w:r>
            <w:r w:rsidRPr="000F0E7B">
              <w:rPr>
                <w:color w:val="000000" w:themeColor="text1"/>
                <w:sz w:val="26"/>
                <w:szCs w:val="26"/>
                <w:lang w:val="vi-VN"/>
              </w:rPr>
              <w:t>ông bố đủ điều kiện điều trị nghiện chất dạng thuốc phiện</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C760B5">
            <w:pPr>
              <w:pStyle w:val="NormalWeb"/>
              <w:spacing w:before="0" w:beforeAutospacing="0"/>
              <w:ind w:left="142" w:right="142" w:firstLine="1"/>
              <w:jc w:val="both"/>
              <w:rPr>
                <w:color w:val="000000" w:themeColor="text1"/>
                <w:sz w:val="26"/>
                <w:szCs w:val="26"/>
                <w:lang w:val="vi-VN"/>
              </w:rPr>
            </w:pPr>
            <w:r w:rsidRPr="000F0E7B">
              <w:rPr>
                <w:color w:val="000000" w:themeColor="text1"/>
                <w:sz w:val="26"/>
                <w:szCs w:val="26"/>
              </w:rPr>
              <w:t>Thủ tục c</w:t>
            </w:r>
            <w:r w:rsidRPr="000F0E7B">
              <w:rPr>
                <w:color w:val="000000" w:themeColor="text1"/>
                <w:sz w:val="26"/>
                <w:szCs w:val="26"/>
                <w:lang w:val="vi-VN"/>
              </w:rPr>
              <w:t>ông bố lại đối với cơ sở đủ điều kiện điều trị nghiện chất dạng thuốc phiện khi có thay đổi về tên, địa chỉ, về cơ sở vật chất, trang thiết bị và nhân sự</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C760B5">
            <w:pPr>
              <w:pStyle w:val="NormalWeb"/>
              <w:spacing w:before="120" w:beforeAutospacing="0" w:after="120" w:afterAutospacing="0" w:line="252" w:lineRule="auto"/>
              <w:ind w:left="142" w:right="142" w:firstLine="1"/>
              <w:jc w:val="both"/>
              <w:rPr>
                <w:color w:val="000000" w:themeColor="text1"/>
                <w:sz w:val="26"/>
                <w:szCs w:val="26"/>
                <w:lang w:val="vi-VN"/>
              </w:rPr>
            </w:pPr>
            <w:r w:rsidRPr="000F0E7B">
              <w:rPr>
                <w:color w:val="000000" w:themeColor="text1"/>
                <w:sz w:val="26"/>
                <w:szCs w:val="26"/>
              </w:rPr>
              <w:t>Thủ tục c</w:t>
            </w:r>
            <w:r w:rsidRPr="000F0E7B">
              <w:rPr>
                <w:color w:val="000000" w:themeColor="text1"/>
                <w:sz w:val="26"/>
                <w:szCs w:val="26"/>
                <w:lang w:val="vi-VN"/>
              </w:rPr>
              <w:t>ông bố lại đối với cơ sở công bố đủ điều kiện điều trị nghiện chất dạng thuốc phiện bằng phương thức điện tử khi hồ sơ công bố bị hư hỏng hoặc bị mất</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C760B5">
            <w:pPr>
              <w:pStyle w:val="NormalWeb"/>
              <w:spacing w:before="120" w:beforeAutospacing="0" w:after="120" w:afterAutospacing="0" w:line="252" w:lineRule="auto"/>
              <w:ind w:left="142" w:right="142" w:firstLine="1"/>
              <w:jc w:val="both"/>
              <w:rPr>
                <w:color w:val="000000" w:themeColor="text1"/>
                <w:sz w:val="26"/>
                <w:szCs w:val="26"/>
              </w:rPr>
            </w:pPr>
            <w:r w:rsidRPr="000F0E7B">
              <w:rPr>
                <w:color w:val="000000" w:themeColor="text1"/>
                <w:sz w:val="26"/>
                <w:szCs w:val="26"/>
              </w:rPr>
              <w:t>Thủ tục c</w:t>
            </w:r>
            <w:r w:rsidRPr="000F0E7B">
              <w:rPr>
                <w:color w:val="000000" w:themeColor="text1"/>
                <w:sz w:val="26"/>
                <w:szCs w:val="26"/>
                <w:lang w:val="vi-VN"/>
              </w:rPr>
              <w:t>ông bố lại đối với cơ sở điều trị sau khi hết thời hạn bị tạm đình chỉ</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695391">
            <w:pPr>
              <w:spacing w:line="276" w:lineRule="auto"/>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công bố phòng xét nghiệm đủ điều kiện thực hiện xét nghiệm sàng lọc HIV thuộc thẩm quyền của Sở Y tế</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C760B5">
            <w:pPr>
              <w:spacing w:before="60"/>
              <w:ind w:right="143"/>
              <w:rPr>
                <w:rFonts w:ascii="Times New Roman" w:hAnsi="Times New Roman" w:cs="Times New Roman"/>
                <w:sz w:val="26"/>
                <w:szCs w:val="26"/>
              </w:rPr>
            </w:pPr>
            <w:r w:rsidRPr="000F0E7B">
              <w:rPr>
                <w:rFonts w:ascii="Times New Roman" w:hAnsi="Times New Roman" w:cs="Times New Roman"/>
                <w:sz w:val="26"/>
                <w:szCs w:val="26"/>
              </w:rPr>
              <w:t>Thủ tục công bố cơ sở y tế đủ điều kiện huấn luyện cấp chứng chỉ chứng nhận về y tế lao động đối với cơ sở y tế thuộc thẩm quyền của Sở Y tế.</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C760B5">
            <w:pPr>
              <w:spacing w:before="60"/>
              <w:ind w:right="143"/>
              <w:rPr>
                <w:rFonts w:ascii="Times New Roman" w:hAnsi="Times New Roman" w:cs="Times New Roman"/>
                <w:sz w:val="26"/>
                <w:szCs w:val="26"/>
              </w:rPr>
            </w:pPr>
            <w:r w:rsidRPr="000F0E7B">
              <w:rPr>
                <w:rFonts w:ascii="Times New Roman" w:hAnsi="Times New Roman" w:cs="Times New Roman"/>
                <w:sz w:val="26"/>
                <w:szCs w:val="26"/>
              </w:rPr>
              <w:t>Thủ tục công bố đủ điều kiện thực hiện hoạt động quan trắc môi trường lao động thuộc thẩm quyền của Sở Y tế</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695391">
            <w:pPr>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đề nghị được thực hiện kỹ thuật xác định lại giới tính đối với người đủ 16 tuổi đến chưa đủ 18 tuổi</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695391">
            <w:pPr>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 xml:space="preserve">Thủ tục đề nghị được thực hiện kỹ thuật xác định lại giới tính đối với người đủ 18 tuổi trở lên </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695391">
            <w:pPr>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đề nghị được thực hiện kỹ thuật xác định lại giới tính đối với người chưa đủ 16 tuổi</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695391">
            <w:pPr>
              <w:spacing w:before="120"/>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công nhận cơ sở khám bệnh, chữa bệnh trực thuộc Sở Y tế, cơ sở khám bệnh, chữa bệnh của y tế ngành, bệnh viện tư nhân thuộc địa bàn quản lý đủ điều kiện thực hiện can thiệp y tế để xác định lại giới tính</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695391">
            <w:pPr>
              <w:spacing w:before="120"/>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cấp Giấy chứng nhận mắc bệnh, tật, dị dạng, dị tật có liên quan đến phơi nhiễm với chất độc hóa học</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ind w:left="720"/>
              <w:jc w:val="both"/>
              <w:rPr>
                <w:color w:val="000000" w:themeColor="text1"/>
                <w:sz w:val="26"/>
                <w:szCs w:val="26"/>
              </w:rPr>
            </w:pPr>
          </w:p>
        </w:tc>
        <w:tc>
          <w:tcPr>
            <w:tcW w:w="12333" w:type="dxa"/>
          </w:tcPr>
          <w:p w:rsidR="00D62577" w:rsidRPr="000F0E7B" w:rsidRDefault="00D62577" w:rsidP="000F0E7B">
            <w:pPr>
              <w:spacing w:before="120"/>
              <w:jc w:val="both"/>
              <w:rPr>
                <w:rFonts w:ascii="Times New Roman" w:eastAsia="Times New Roman" w:hAnsi="Times New Roman" w:cs="Times New Roman"/>
                <w:b/>
                <w:color w:val="000000" w:themeColor="text1"/>
                <w:sz w:val="26"/>
                <w:szCs w:val="26"/>
              </w:rPr>
            </w:pPr>
            <w:r w:rsidRPr="000F0E7B">
              <w:rPr>
                <w:rFonts w:ascii="Times New Roman" w:eastAsia="Times New Roman" w:hAnsi="Times New Roman" w:cs="Times New Roman"/>
                <w:b/>
                <w:color w:val="000000" w:themeColor="text1"/>
                <w:sz w:val="26"/>
                <w:szCs w:val="26"/>
              </w:rPr>
              <w:t>Phòng Kế hoạch – Tài chính – 03 quy trình (Từ quy trình 11</w:t>
            </w:r>
            <w:r w:rsidR="000F0E7B" w:rsidRPr="000F0E7B">
              <w:rPr>
                <w:rFonts w:ascii="Times New Roman" w:eastAsia="Times New Roman" w:hAnsi="Times New Roman" w:cs="Times New Roman"/>
                <w:b/>
                <w:color w:val="000000" w:themeColor="text1"/>
                <w:sz w:val="26"/>
                <w:szCs w:val="26"/>
              </w:rPr>
              <w:t>2</w:t>
            </w:r>
            <w:r w:rsidRPr="000F0E7B">
              <w:rPr>
                <w:rFonts w:ascii="Times New Roman" w:eastAsia="Times New Roman" w:hAnsi="Times New Roman" w:cs="Times New Roman"/>
                <w:b/>
                <w:color w:val="000000" w:themeColor="text1"/>
                <w:sz w:val="26"/>
                <w:szCs w:val="26"/>
              </w:rPr>
              <w:t xml:space="preserve"> đến quy trình 11</w:t>
            </w:r>
            <w:r w:rsidR="000F0E7B" w:rsidRPr="000F0E7B">
              <w:rPr>
                <w:rFonts w:ascii="Times New Roman" w:eastAsia="Times New Roman" w:hAnsi="Times New Roman" w:cs="Times New Roman"/>
                <w:b/>
                <w:color w:val="000000" w:themeColor="text1"/>
                <w:sz w:val="26"/>
                <w:szCs w:val="26"/>
              </w:rPr>
              <w:t>4</w:t>
            </w:r>
            <w:r w:rsidRPr="000F0E7B">
              <w:rPr>
                <w:rFonts w:ascii="Times New Roman" w:eastAsia="Times New Roman" w:hAnsi="Times New Roman" w:cs="Times New Roman"/>
                <w:b/>
                <w:color w:val="000000" w:themeColor="text1"/>
                <w:sz w:val="26"/>
                <w:szCs w:val="26"/>
              </w:rPr>
              <w:t xml:space="preserve"> )</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vAlign w:val="center"/>
          </w:tcPr>
          <w:p w:rsidR="00D62577" w:rsidRPr="000F0E7B" w:rsidRDefault="00D62577" w:rsidP="00695391">
            <w:pPr>
              <w:spacing w:before="120" w:after="120"/>
              <w:jc w:val="both"/>
              <w:rPr>
                <w:rFonts w:ascii="Times New Roman" w:eastAsia="Calibri" w:hAnsi="Times New Roman" w:cs="Times New Roman"/>
                <w:color w:val="000000" w:themeColor="text1"/>
                <w:sz w:val="26"/>
                <w:szCs w:val="26"/>
              </w:rPr>
            </w:pPr>
            <w:r w:rsidRPr="000F0E7B">
              <w:rPr>
                <w:rFonts w:ascii="Times New Roman" w:hAnsi="Times New Roman" w:cs="Times New Roman"/>
                <w:color w:val="000000" w:themeColor="text1"/>
                <w:sz w:val="26"/>
                <w:szCs w:val="26"/>
                <w:shd w:val="clear" w:color="auto" w:fill="FFFFFF"/>
              </w:rPr>
              <w:t>Thủ tục cô</w:t>
            </w:r>
            <w:r w:rsidRPr="000F0E7B">
              <w:rPr>
                <w:rFonts w:ascii="Times New Roman" w:hAnsi="Times New Roman" w:cs="Times New Roman"/>
                <w:color w:val="000000" w:themeColor="text1"/>
                <w:sz w:val="26"/>
                <w:szCs w:val="26"/>
                <w:shd w:val="clear" w:color="auto" w:fill="FFFFFF"/>
                <w:lang w:val="vi-VN"/>
              </w:rPr>
              <w:t>ng bố đủ điều kiện sản xuất trang</w:t>
            </w:r>
            <w:r w:rsidRPr="000F0E7B">
              <w:rPr>
                <w:rFonts w:ascii="Times New Roman" w:hAnsi="Times New Roman" w:cs="Times New Roman"/>
                <w:color w:val="000000" w:themeColor="text1"/>
                <w:sz w:val="26"/>
                <w:szCs w:val="26"/>
                <w:shd w:val="clear" w:color="auto" w:fill="FFFFFF"/>
              </w:rPr>
              <w:t xml:space="preserve"> thi</w:t>
            </w:r>
            <w:r w:rsidRPr="000F0E7B">
              <w:rPr>
                <w:rFonts w:ascii="Times New Roman" w:hAnsi="Times New Roman" w:cs="Times New Roman"/>
                <w:color w:val="000000" w:themeColor="text1"/>
                <w:sz w:val="26"/>
                <w:szCs w:val="26"/>
                <w:shd w:val="clear" w:color="auto" w:fill="FFFFFF"/>
                <w:lang w:val="vi-VN"/>
              </w:rPr>
              <w:t>ết bị y tế</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vAlign w:val="center"/>
          </w:tcPr>
          <w:p w:rsidR="00D62577" w:rsidRPr="000F0E7B" w:rsidRDefault="00D62577" w:rsidP="00695391">
            <w:pPr>
              <w:spacing w:before="120" w:after="120"/>
              <w:jc w:val="both"/>
              <w:rPr>
                <w:rFonts w:ascii="Times New Roman" w:eastAsia="Calibri" w:hAnsi="Times New Roman" w:cs="Times New Roman"/>
                <w:color w:val="000000" w:themeColor="text1"/>
                <w:sz w:val="26"/>
                <w:szCs w:val="26"/>
              </w:rPr>
            </w:pPr>
            <w:r w:rsidRPr="000F0E7B">
              <w:rPr>
                <w:rFonts w:ascii="Times New Roman" w:hAnsi="Times New Roman" w:cs="Times New Roman"/>
                <w:color w:val="000000" w:themeColor="text1"/>
                <w:sz w:val="26"/>
                <w:szCs w:val="26"/>
                <w:shd w:val="clear" w:color="auto" w:fill="FFFFFF"/>
              </w:rPr>
              <w:t>Thủ tục cô</w:t>
            </w:r>
            <w:r w:rsidRPr="000F0E7B">
              <w:rPr>
                <w:rFonts w:ascii="Times New Roman" w:hAnsi="Times New Roman" w:cs="Times New Roman"/>
                <w:color w:val="000000" w:themeColor="text1"/>
                <w:sz w:val="26"/>
                <w:szCs w:val="26"/>
                <w:shd w:val="clear" w:color="auto" w:fill="FFFFFF"/>
                <w:lang w:val="vi-VN"/>
              </w:rPr>
              <w:t>ng bố tiêu chuẩn áp dụng đối với</w:t>
            </w:r>
            <w:r w:rsidRPr="000F0E7B">
              <w:rPr>
                <w:rFonts w:ascii="Times New Roman" w:hAnsi="Times New Roman" w:cs="Times New Roman"/>
                <w:color w:val="000000" w:themeColor="text1"/>
                <w:sz w:val="26"/>
                <w:szCs w:val="26"/>
                <w:shd w:val="clear" w:color="auto" w:fill="FFFFFF"/>
              </w:rPr>
              <w:t xml:space="preserve"> trang</w:t>
            </w:r>
            <w:r w:rsidRPr="000F0E7B">
              <w:rPr>
                <w:rStyle w:val="apple-converted-space"/>
                <w:rFonts w:ascii="Times New Roman" w:hAnsi="Times New Roman" w:cs="Times New Roman"/>
                <w:color w:val="000000" w:themeColor="text1"/>
                <w:sz w:val="26"/>
                <w:szCs w:val="26"/>
                <w:shd w:val="clear" w:color="auto" w:fill="FFFFFF"/>
              </w:rPr>
              <w:t> </w:t>
            </w:r>
            <w:r w:rsidRPr="000F0E7B">
              <w:rPr>
                <w:rFonts w:ascii="Times New Roman" w:hAnsi="Times New Roman" w:cs="Times New Roman"/>
                <w:color w:val="000000" w:themeColor="text1"/>
                <w:sz w:val="26"/>
                <w:szCs w:val="26"/>
                <w:shd w:val="clear" w:color="auto" w:fill="FFFFFF"/>
                <w:lang w:val="vi-VN"/>
              </w:rPr>
              <w:t>thiết bị y tế thuộc loại A</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vAlign w:val="center"/>
          </w:tcPr>
          <w:p w:rsidR="00D62577" w:rsidRPr="000F0E7B" w:rsidRDefault="00D62577" w:rsidP="00695391">
            <w:pPr>
              <w:spacing w:before="120" w:after="120"/>
              <w:jc w:val="both"/>
              <w:rPr>
                <w:rFonts w:ascii="Times New Roman" w:eastAsia="Calibri" w:hAnsi="Times New Roman" w:cs="Times New Roman"/>
                <w:color w:val="000000" w:themeColor="text1"/>
                <w:sz w:val="26"/>
                <w:szCs w:val="26"/>
              </w:rPr>
            </w:pPr>
            <w:r w:rsidRPr="000F0E7B">
              <w:rPr>
                <w:rFonts w:ascii="Times New Roman" w:eastAsia="Calibri" w:hAnsi="Times New Roman" w:cs="Times New Roman"/>
                <w:color w:val="000000" w:themeColor="text1"/>
                <w:sz w:val="26"/>
                <w:szCs w:val="26"/>
              </w:rPr>
              <w:t>Thủ tục cô</w:t>
            </w:r>
            <w:r w:rsidRPr="000F0E7B">
              <w:rPr>
                <w:rFonts w:ascii="Times New Roman" w:eastAsia="Calibri" w:hAnsi="Times New Roman" w:cs="Times New Roman"/>
                <w:color w:val="000000" w:themeColor="text1"/>
                <w:sz w:val="26"/>
                <w:szCs w:val="26"/>
                <w:lang w:val="vi-VN"/>
              </w:rPr>
              <w:t>ng bố đủ điều kiện mua bán trang</w:t>
            </w:r>
            <w:r w:rsidRPr="000F0E7B">
              <w:rPr>
                <w:rFonts w:ascii="Times New Roman" w:eastAsia="Calibri" w:hAnsi="Times New Roman" w:cs="Times New Roman"/>
                <w:color w:val="000000" w:themeColor="text1"/>
                <w:sz w:val="26"/>
                <w:szCs w:val="26"/>
              </w:rPr>
              <w:t xml:space="preserve"> thi</w:t>
            </w:r>
            <w:r w:rsidRPr="000F0E7B">
              <w:rPr>
                <w:rFonts w:ascii="Times New Roman" w:eastAsia="Calibri" w:hAnsi="Times New Roman" w:cs="Times New Roman"/>
                <w:color w:val="000000" w:themeColor="text1"/>
                <w:sz w:val="26"/>
                <w:szCs w:val="26"/>
                <w:lang w:val="vi-VN"/>
              </w:rPr>
              <w:t>ết bị y tế thuộc loại B, </w:t>
            </w:r>
            <w:r w:rsidRPr="000F0E7B">
              <w:rPr>
                <w:rFonts w:ascii="Times New Roman" w:eastAsia="Calibri" w:hAnsi="Times New Roman" w:cs="Times New Roman"/>
                <w:color w:val="000000" w:themeColor="text1"/>
                <w:sz w:val="26"/>
                <w:szCs w:val="26"/>
              </w:rPr>
              <w:t>C</w:t>
            </w:r>
            <w:r w:rsidRPr="000F0E7B">
              <w:rPr>
                <w:rFonts w:ascii="Times New Roman" w:eastAsia="Calibri" w:hAnsi="Times New Roman" w:cs="Times New Roman"/>
                <w:color w:val="000000" w:themeColor="text1"/>
                <w:sz w:val="26"/>
                <w:szCs w:val="26"/>
                <w:lang w:val="vi-VN"/>
              </w:rPr>
              <w:t>, D</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ind w:left="720"/>
              <w:jc w:val="both"/>
              <w:rPr>
                <w:color w:val="000000" w:themeColor="text1"/>
                <w:sz w:val="26"/>
                <w:szCs w:val="26"/>
              </w:rPr>
            </w:pPr>
          </w:p>
        </w:tc>
        <w:tc>
          <w:tcPr>
            <w:tcW w:w="12333" w:type="dxa"/>
            <w:vAlign w:val="center"/>
          </w:tcPr>
          <w:p w:rsidR="00D62577" w:rsidRPr="000F0E7B" w:rsidRDefault="00D62577" w:rsidP="000F0E7B">
            <w:pPr>
              <w:spacing w:before="120" w:after="120"/>
              <w:jc w:val="both"/>
              <w:rPr>
                <w:rFonts w:ascii="Times New Roman" w:eastAsia="Calibri" w:hAnsi="Times New Roman" w:cs="Times New Roman"/>
                <w:b/>
                <w:color w:val="000000" w:themeColor="text1"/>
                <w:sz w:val="26"/>
                <w:szCs w:val="26"/>
              </w:rPr>
            </w:pPr>
            <w:r w:rsidRPr="000F0E7B">
              <w:rPr>
                <w:rFonts w:ascii="Times New Roman" w:eastAsia="Calibri" w:hAnsi="Times New Roman" w:cs="Times New Roman"/>
                <w:b/>
                <w:color w:val="000000" w:themeColor="text1"/>
                <w:sz w:val="26"/>
                <w:szCs w:val="26"/>
              </w:rPr>
              <w:t xml:space="preserve">Phòng Nghiệp vụ Dược – 58 quy trình </w:t>
            </w:r>
            <w:r w:rsidRPr="000F0E7B">
              <w:rPr>
                <w:rFonts w:ascii="Times New Roman" w:eastAsia="Times New Roman" w:hAnsi="Times New Roman" w:cs="Times New Roman"/>
                <w:b/>
                <w:color w:val="000000" w:themeColor="text1"/>
                <w:sz w:val="26"/>
                <w:szCs w:val="26"/>
              </w:rPr>
              <w:t>(Từ quy trình 11</w:t>
            </w:r>
            <w:r w:rsidR="000F0E7B" w:rsidRPr="000F0E7B">
              <w:rPr>
                <w:rFonts w:ascii="Times New Roman" w:eastAsia="Times New Roman" w:hAnsi="Times New Roman" w:cs="Times New Roman"/>
                <w:b/>
                <w:color w:val="000000" w:themeColor="text1"/>
                <w:sz w:val="26"/>
                <w:szCs w:val="26"/>
              </w:rPr>
              <w:t>5</w:t>
            </w:r>
            <w:r w:rsidRPr="000F0E7B">
              <w:rPr>
                <w:rFonts w:ascii="Times New Roman" w:eastAsia="Times New Roman" w:hAnsi="Times New Roman" w:cs="Times New Roman"/>
                <w:b/>
                <w:color w:val="000000" w:themeColor="text1"/>
                <w:sz w:val="26"/>
                <w:szCs w:val="26"/>
              </w:rPr>
              <w:t xml:space="preserve"> đến quy trình 17</w:t>
            </w:r>
            <w:r w:rsidR="000F0E7B" w:rsidRPr="000F0E7B">
              <w:rPr>
                <w:rFonts w:ascii="Times New Roman" w:eastAsia="Times New Roman" w:hAnsi="Times New Roman" w:cs="Times New Roman"/>
                <w:b/>
                <w:color w:val="000000" w:themeColor="text1"/>
                <w:sz w:val="26"/>
                <w:szCs w:val="26"/>
              </w:rPr>
              <w:t>2</w:t>
            </w:r>
            <w:r w:rsidRPr="000F0E7B">
              <w:rPr>
                <w:rFonts w:ascii="Times New Roman" w:eastAsia="Times New Roman" w:hAnsi="Times New Roman" w:cs="Times New Roman"/>
                <w:b/>
                <w:color w:val="000000" w:themeColor="text1"/>
                <w:sz w:val="26"/>
                <w:szCs w:val="26"/>
              </w:rPr>
              <w:t xml:space="preserve"> )</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695391">
            <w:pPr>
              <w:spacing w:before="120"/>
              <w:jc w:val="both"/>
              <w:rPr>
                <w:rFonts w:ascii="Times New Roman" w:eastAsia="Times New Roman" w:hAnsi="Times New Roman" w:cs="Times New Roman"/>
                <w:color w:val="000000" w:themeColor="text1"/>
                <w:sz w:val="26"/>
                <w:szCs w:val="26"/>
              </w:rPr>
            </w:pPr>
            <w:hyperlink r:id="rId9" w:history="1">
              <w:r w:rsidRPr="000F0E7B">
                <w:rPr>
                  <w:rFonts w:ascii="Times New Roman" w:eastAsia="Times New Roman" w:hAnsi="Times New Roman" w:cs="Times New Roman"/>
                  <w:color w:val="000000" w:themeColor="text1"/>
                  <w:sz w:val="26"/>
                  <w:szCs w:val="26"/>
                </w:rPr>
                <w:t>Thủ tục Công bố cơ sở đủ điều kiện cung cấp dịch vụ diệt côn trùng, diệt khuẩn trong lĩnh vực gia dụng và y tế bằng chế phẩm.</w:t>
              </w:r>
            </w:hyperlink>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695391">
            <w:pPr>
              <w:spacing w:before="120"/>
              <w:jc w:val="both"/>
              <w:rPr>
                <w:rFonts w:ascii="Times New Roman" w:eastAsia="Times New Roman" w:hAnsi="Times New Roman" w:cs="Times New Roman"/>
                <w:color w:val="000000" w:themeColor="text1"/>
                <w:sz w:val="26"/>
                <w:szCs w:val="26"/>
              </w:rPr>
            </w:pPr>
            <w:hyperlink r:id="rId10" w:history="1">
              <w:r w:rsidRPr="000F0E7B">
                <w:rPr>
                  <w:rFonts w:ascii="Times New Roman" w:eastAsia="Times New Roman" w:hAnsi="Times New Roman" w:cs="Times New Roman"/>
                  <w:color w:val="000000" w:themeColor="text1"/>
                  <w:sz w:val="26"/>
                  <w:szCs w:val="26"/>
                </w:rPr>
                <w:t>Thủ tục Công bố cơ sở đủ điều kiện sản xuất chế phẩm diệt côn trùng, diệt khuẩn dùng trong lĩnh vực gia dụng và y tế.</w:t>
              </w:r>
            </w:hyperlink>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5B6214">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Kê khai lại giá thuốc sản xuất trong nước</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5D2DD5">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công bố cơ sở đào tạo, cập nhật kiến thức chuyên môn về dược</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5D2DD5">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điều chỉnh công bố đào tạo, cập nhật kiến thức chuyên môn về dược</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5D2DD5">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 xml:space="preserve">Thủ tục cấp Chứng chỉ hành nghề dược (bao gồm cả trường hợp cấp Chứng chỉ hành nghề dược nhưng Chứng chỉ hành nghề dược bị thu hồi theo quy định tại các khoản 1, 2, 4, 5, 6, 7, 8, 9, 10, 11 Điều 28 của Luật dược)theo hình thức xét hồ sơ </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5D2DD5">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cấp Chứng chỉ hành nghề dược theo hình thức xét hồ sơ trong trường hợp Chứng chỉ hành nghề dược bị ghi sai do lỗi của cơ quan cấp Chứng chỉ hành nghề dược</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5D2DD5">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cấp lại Chứng chỉ hành nghề dược theo hình thức xét hồ sơ</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5D2DD5">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điều chỉnh nội dung Chứng chỉ hành nghề dược theo hình thức xét hồ sơ</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5D2DD5">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5D2DD5">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 xml:space="preserve">Thủ tục cấp lại Giấy chứng nhận đủ điều kiện kinh doanh dược thuộc thẩm quyền của Sở Y tế (Cơ sở bán buôn thuốc, nguyên liệu làm thuốc; Cơ sở bán lẻ thuốc bao gồm nhà thuốc, quầy thuốc, tủ thuốc trạm y tế xã, cơ sở </w:t>
            </w:r>
            <w:r w:rsidRPr="000F0E7B">
              <w:rPr>
                <w:rFonts w:ascii="Times New Roman" w:hAnsi="Times New Roman" w:cs="Times New Roman"/>
                <w:color w:val="000000" w:themeColor="text1"/>
                <w:sz w:val="26"/>
                <w:szCs w:val="26"/>
              </w:rPr>
              <w:lastRenderedPageBreak/>
              <w:t>chuyên bán lẻ dược liệu, thuốc dược liệu, thuốc cổ truyền)</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5D2DD5">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5D2DD5">
            <w:pPr>
              <w:jc w:val="both"/>
              <w:rPr>
                <w:rFonts w:ascii="Times New Roman" w:hAnsi="Times New Roman" w:cs="Times New Roman"/>
                <w:color w:val="000000" w:themeColor="text1"/>
                <w:sz w:val="26"/>
                <w:szCs w:val="26"/>
              </w:rPr>
            </w:pPr>
            <w:hyperlink r:id="rId11" w:history="1">
              <w:r w:rsidRPr="000F0E7B">
                <w:rPr>
                  <w:rFonts w:ascii="Times New Roman" w:hAnsi="Times New Roman" w:cs="Times New Roman"/>
                  <w:color w:val="000000" w:themeColor="text1"/>
                  <w:sz w:val="26"/>
                  <w:szCs w:val="26"/>
                </w:rPr>
                <w:t>Thủ tục Cấp Giấy chứng nhận đủ điều kiện kinh doanh dược cho cơ sở thay đổi loại hình kinh doanh dược hoặc thay đổi phạm vi kinh doanh dược có làm thay đổi Điều kiện kinh doanh; thay đổi địa Điểm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hyperlink>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5D2DD5">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thông báo hoạt động bán lẻ thuốc lưu động</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5D2DD5">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cấp Giấy chứng nhận đủ điều kiện kinh doanh dược cho cơ sở kinh doanh thuốc gây nghiện, thuốc hướng thần, thuốc tiền chất, nguyên liệu làm thuốc là dược chất gây nghiện, dược chất hướng thần, tiền chất dùng làm thuốc, thuốc phóng xạ; cơ sở sản xuất thuốc dạng phối hợp có chứa dược chất gây nghiện, thuốc dạng phối hợp có chứa dược chất hướng thần, thuốc dạng phối hợp có chứa tiền chất thuộc thẩm quyền của Sở Y tế</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5D2DD5">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cấp Giấy chứng nhận đủ điều kiện kinh doanh dược cho các cơ sở kinh doanh thuốc dạng phối hợp có chứa dược chất gây nghiện, thuốc dạng phối hợp có dược chất hướng thần, thuốc dạng phối hợp có chứa tiền chất (trừ cơ sở sản xuất được quy định tại Điều 50 của Nghị định 54/2017/NĐ-CP); cơ sở kinh doanh thuốc độc, nguyên liệu độc làm thuốc, thuốc, dược chất trong danh mục thuốc, dược chất thuộc danh mục chất bị cấm sử dụng trong một số ngành, lĩnh vực thuộc thẩm quyền Sở Y tế</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5D2DD5">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cho phép hủy thuốc gây nghiện, thuốc hướng thần, thuốc tiền chất, nguyên liệu làm thuốc là dược chất gây nghiện, dược chất hướng thần, tiền chất dùng làm thuốc thuộc thẩm quyền của Sở Y tế</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5D2DD5">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cấp Giấy chứng nhận đạt “Thực hành tốt phân phối thuốc” (GDP).</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F30C40">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cấp Giấy chứng nhận đạt “Thực hành tốt phân phối thuốc” (GDP) đối với trường hợp thay đổi/bổ sung phạm vi kinh doanh, thay đổi địa điểm kinh doanh, kho bảo quản.</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F30C40">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cấp lại Giấy chứng nhận đạt “Thực hành tốt phân phối thuốc” (GDP).</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F30C40">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 xml:space="preserve">Thủ tục cấp Giấy chứng nhận đạt nguyên tắc, tiêu chuẩn “Thực hành tốt nhà thuốc” (GPP).   </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F30C40">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 xml:space="preserve">Thủ tục cấp lại Giấy chứng nhận đạt nguyên tắc, tiêu chuẩn “Thực hành tốt nhà thuốc” (GPP).  </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F30C40">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cấp Giấy xác nhận nội dung thông tin thuốc theo hình thức hội thảo giới thiệu thuốc</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F30C40">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cấp lại Giấy xác nhận nội dung thông tin thuốc thuộc thẩm quyền của Sở Y tế</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F30C40">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 xml:space="preserve">Thủ tục tiếp nhận hồ sơ công bố sản phẩm mỹ phẩm được sản xuất tại các nhà máy trong tỉnh; sản phẩm mỹ phẩm </w:t>
            </w:r>
            <w:r w:rsidRPr="000F0E7B">
              <w:rPr>
                <w:rFonts w:ascii="Times New Roman" w:hAnsi="Times New Roman" w:cs="Times New Roman"/>
                <w:color w:val="000000" w:themeColor="text1"/>
                <w:sz w:val="26"/>
                <w:szCs w:val="26"/>
              </w:rPr>
              <w:lastRenderedPageBreak/>
              <w:t>được sản xuất, đóng gói từ bán thành phẩm nhập khẩu tại các nhà máy trong tỉnh.</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F30C40">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cấp thẻ người giới thiệu thuốc cho người có trình độ chuyên môn trung cấp</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cấp thẻ người giới thiệu thuốc cho người có trình độ chuyên môn đại học</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Duyệt dự trù và phân phối thuốc Methadone thuộc thẩm quyền quản lý của Sở Y tế Quảng Bình.</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Cấp giấy xác nhận nội dung quảng cáo mỹ phẩm.</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Tiếp nhận hồ sơ đăng ký quảng cáo, tổ chức hội thảo, sự kiện giới thiệu mỹ phẩm.</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Cấp lại giấy xác nhận nội dung quảng cáo mỹ phẩm trong trường hợp bị mất hoặc hư hỏng</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Cấp lại giấy xác nhận nội dung quảng cáo mỹ phẩm trong trường hợp hết hiệu lực tại Khoản 2 Điều 21 Thông tư số 09/2015/TT-BYT</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Cấp lại giấy xác nhận nội dung quảng cáo mỹ phẩm khi có thay đổi về tên, địa chỉ của tổ chức, cá nhân chịu trách nhiệm và không thay đổi nội dung quảng cáo.</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đăng ký thuốc gia công của thuốc đã có số đăng ký lưu hành tại Việt Nam.</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đăng ký thuốc gia công của thuốc chưa có số đăng ký lưu hành tại Việt Nam.</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đăng ký lại thuốc gia công.</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cấp Giấy chứng nhận đủ điều kiện kinh doanh thuốc đối với cơ sở bán buôn dược liệu</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gia hạn Giấy chứng nhận đủ điều kiện kinh doanh thuốc đối với cơ sở bán buôn dược liệu</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bổ sung phạm vi kinh doanh trong Giấy chứng nhận đủ điều kiện kinh doanh thuốc đối với cơ sở bán buôn dược liệu.</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cấp lại Giấy chứng nhận đủ điều kiện kinh doanh thuốc đối với cơ sở bán buôn dược liệu.</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cấp phép xuất khẩu thuốc phải kiểm soát đặc biệt thuộc hành lý cá nhân của tổ chức, cá nhân xuất cảnh gửi theo vận tải đơn, hàng hóa mang theo người của tổ chức, cá nhân xuất cảnh để điều trị bệnh cho bản thân người xuất cảnh và không phải nguyên liệu làm thuốc phải kiểm soát đặc biệt</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cấp phép nhập khẩu thuốc thuộc hành lý cá nhân của tổ chức, cá nhân nhập cảnh gửi theo vận tải đơn, hàng hóa mang theo người của tổ chức, cá nhân nhập cảnh để điều trị bệnh cho bản thân người nhập cảnh</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gia hạn Giấy chứng nhận đủ điều kiện kinh doanh thuốc cho cơ sở sản xuất thuốc từ dược liệu đã được thẩm định điều kiện sản xuất thuốc theo Quyết định số 15/2008/QĐ-BYT ngày 21/4/2008 của Bộ Y tế và được cấp Giấy chứng nhận đủ điều kiện kinh doanh thuốc có hiệu lực đến ngày 31/12/2010 thuộc thẩm quyền của Sở Y tế.</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đăng ký lần đầu, đăng ký lại và đăng ký gia hạn các thuốc dùng ngoài sản xuất trong nước quy định tại Phụ lục V - Thông tư 44/2014/TT-BYT</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cho phép mua thuốc gây nghiện, thuốc hướng thần, thuốc tiền chất thuộc thẩm quyền của Sở Y tế</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 Thủ tục cấp giấy chứng nhận đủ điều kiện sản xuất mỹ phẩm</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 Thủ tục cấp lại giấy chứng nhận đủ điều kiện sản xuất mỹ phẩm</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 Thủ tục điều chỉnh giấy chứng nhận đủ điều kiện sản xuất mỹ phẩm</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 xml:space="preserve">Điều chỉnh nội dung thông tin thuốc đã được cấp Giấy xác nhận thuộc thẩm quyền của Sở Y tế </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cho phép bán lẻ thuốc thuộc Danh mục thuốc hạn chế bán lẻ đối với cơ sở chưa được cấp Giấy chứng nhận đủ điều kiện kinh doanh dược</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r w:rsidRPr="000F0E7B">
              <w:rPr>
                <w:rFonts w:ascii="Times New Roman" w:hAnsi="Times New Roman" w:cs="Times New Roman"/>
                <w:color w:val="000000" w:themeColor="text1"/>
                <w:sz w:val="26"/>
                <w:szCs w:val="26"/>
              </w:rPr>
              <w:t>Thủ tục cho phép bán lẻ thuốc thuộc Danh mục thuốc hạn chế bán lẻ đối với cơ sở đã được cấp Giấy chứng nhận đủ điều kiện kinh doanh dược</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hyperlink r:id="rId12" w:history="1">
              <w:r w:rsidRPr="000F0E7B">
                <w:rPr>
                  <w:rFonts w:ascii="Times New Roman" w:hAnsi="Times New Roman" w:cs="Times New Roman"/>
                  <w:color w:val="000000" w:themeColor="text1"/>
                  <w:sz w:val="26"/>
                  <w:szCs w:val="26"/>
                </w:rPr>
                <w:t>Thủ tục Gia hạn Giấy chứng nhận đủ điều kiện kinh doanh thuốc đối với cơ sở chưa thực hiện GPP theo lộ trình triển khai áp dụng nguyên tắc, tiêu chuẩn thực hành tốt nhà thuốc (GPP) do Bộ Y tế quy định.</w:t>
              </w:r>
            </w:hyperlink>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hyperlink r:id="rId13" w:history="1">
              <w:r w:rsidRPr="000F0E7B">
                <w:rPr>
                  <w:rFonts w:ascii="Times New Roman" w:hAnsi="Times New Roman" w:cs="Times New Roman"/>
                  <w:color w:val="000000" w:themeColor="text1"/>
                  <w:sz w:val="26"/>
                  <w:szCs w:val="26"/>
                </w:rPr>
                <w:t>Thủ tục cấp phép nhập khẩu thuốc viện trợ, viện trợ nhân đạo đối với cơ sở tiếp nhận viện trợ thuộc tỉnh và thuốc nhận viện trợ là các thuốc Generic</w:t>
              </w:r>
            </w:hyperlink>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hyperlink r:id="rId14" w:history="1">
              <w:r w:rsidRPr="000F0E7B">
                <w:rPr>
                  <w:rFonts w:ascii="Times New Roman" w:hAnsi="Times New Roman" w:cs="Times New Roman"/>
                  <w:color w:val="000000" w:themeColor="text1"/>
                  <w:sz w:val="26"/>
                  <w:szCs w:val="26"/>
                </w:rPr>
                <w:t>Thủ tục cấp Giấy chứng nhận đủ điều kiện kinh doanh thuốc đối với cơ sở bán lẻ dược liệu</w:t>
              </w:r>
            </w:hyperlink>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hyperlink r:id="rId15" w:history="1">
              <w:r w:rsidRPr="000F0E7B">
                <w:rPr>
                  <w:rFonts w:ascii="Times New Roman" w:hAnsi="Times New Roman" w:cs="Times New Roman"/>
                  <w:color w:val="000000" w:themeColor="text1"/>
                  <w:sz w:val="26"/>
                  <w:szCs w:val="26"/>
                </w:rPr>
                <w:t>Thủ tục gia hạn Giấy chứng nhận đủ điều kiện kinh doanh thuốc đối với cơ sở bán lẻ dược liệu</w:t>
              </w:r>
            </w:hyperlink>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hyperlink r:id="rId16" w:history="1">
              <w:r w:rsidRPr="000F0E7B">
                <w:rPr>
                  <w:rFonts w:ascii="Times New Roman" w:hAnsi="Times New Roman" w:cs="Times New Roman"/>
                  <w:color w:val="000000" w:themeColor="text1"/>
                  <w:sz w:val="26"/>
                  <w:szCs w:val="26"/>
                </w:rPr>
                <w:t>Thủ tục bổ sung phạm vi kinh doanh trong Giấy chứng nhận đủ điều kiện kinh doanh thuốc đối với cơ sở bán lẻ dược liệu</w:t>
              </w:r>
            </w:hyperlink>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hyperlink r:id="rId17" w:history="1">
              <w:r w:rsidRPr="000F0E7B">
                <w:rPr>
                  <w:rFonts w:ascii="Times New Roman" w:hAnsi="Times New Roman" w:cs="Times New Roman"/>
                  <w:color w:val="000000" w:themeColor="text1"/>
                  <w:sz w:val="26"/>
                  <w:szCs w:val="26"/>
                </w:rPr>
                <w:t>Thủ tục cấp lại Giấy chứng nhận đủ điều kiện kinh doanh thuốc đối với cơ sở bán lẻ dược liệu</w:t>
              </w:r>
            </w:hyperlink>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E47CA8">
            <w:pPr>
              <w:jc w:val="both"/>
              <w:rPr>
                <w:rFonts w:ascii="Times New Roman" w:hAnsi="Times New Roman" w:cs="Times New Roman"/>
                <w:color w:val="000000" w:themeColor="text1"/>
                <w:sz w:val="26"/>
                <w:szCs w:val="26"/>
              </w:rPr>
            </w:pPr>
            <w:hyperlink r:id="rId18" w:history="1">
              <w:r w:rsidRPr="000F0E7B">
                <w:rPr>
                  <w:rFonts w:ascii="Times New Roman" w:hAnsi="Times New Roman" w:cs="Times New Roman"/>
                  <w:color w:val="000000" w:themeColor="text1"/>
                  <w:sz w:val="26"/>
                  <w:szCs w:val="26"/>
                </w:rPr>
                <w:t>Thủ tục cho phép tổ chức, cá nhân xuất khẩu/nhập khẩu thuốc theo đường phi mậu dịch đối với thuốc thành phẩm không chứa hoạt chất là thuốc gây nghiện</w:t>
              </w:r>
            </w:hyperlink>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5B6214">
            <w:pPr>
              <w:pStyle w:val="FootnoteText"/>
              <w:ind w:left="720"/>
              <w:jc w:val="both"/>
              <w:rPr>
                <w:color w:val="000000" w:themeColor="text1"/>
                <w:sz w:val="26"/>
                <w:szCs w:val="26"/>
              </w:rPr>
            </w:pPr>
          </w:p>
        </w:tc>
        <w:tc>
          <w:tcPr>
            <w:tcW w:w="12333" w:type="dxa"/>
          </w:tcPr>
          <w:p w:rsidR="00D62577" w:rsidRPr="000F0E7B" w:rsidRDefault="00D62577" w:rsidP="000F0E7B">
            <w:pPr>
              <w:jc w:val="both"/>
              <w:rPr>
                <w:rFonts w:ascii="Times New Roman" w:hAnsi="Times New Roman" w:cs="Times New Roman"/>
                <w:b/>
                <w:color w:val="000000" w:themeColor="text1"/>
                <w:sz w:val="26"/>
                <w:szCs w:val="26"/>
              </w:rPr>
            </w:pPr>
            <w:r w:rsidRPr="000F0E7B">
              <w:rPr>
                <w:rFonts w:ascii="Times New Roman" w:hAnsi="Times New Roman" w:cs="Times New Roman"/>
                <w:b/>
                <w:color w:val="000000" w:themeColor="text1"/>
                <w:sz w:val="26"/>
                <w:szCs w:val="26"/>
              </w:rPr>
              <w:t xml:space="preserve">Chi cục An toàn vệ sinh thực phẩm – 09 quy trình </w:t>
            </w:r>
            <w:r w:rsidRPr="000F0E7B">
              <w:rPr>
                <w:rFonts w:ascii="Times New Roman" w:eastAsia="Times New Roman" w:hAnsi="Times New Roman" w:cs="Times New Roman"/>
                <w:b/>
                <w:color w:val="000000" w:themeColor="text1"/>
                <w:sz w:val="26"/>
                <w:szCs w:val="26"/>
              </w:rPr>
              <w:t>(Từ quy trình 17</w:t>
            </w:r>
            <w:r w:rsidR="000F0E7B" w:rsidRPr="000F0E7B">
              <w:rPr>
                <w:rFonts w:ascii="Times New Roman" w:eastAsia="Times New Roman" w:hAnsi="Times New Roman" w:cs="Times New Roman"/>
                <w:b/>
                <w:color w:val="000000" w:themeColor="text1"/>
                <w:sz w:val="26"/>
                <w:szCs w:val="26"/>
              </w:rPr>
              <w:t>3</w:t>
            </w:r>
            <w:r w:rsidRPr="000F0E7B">
              <w:rPr>
                <w:rFonts w:ascii="Times New Roman" w:eastAsia="Times New Roman" w:hAnsi="Times New Roman" w:cs="Times New Roman"/>
                <w:b/>
                <w:color w:val="000000" w:themeColor="text1"/>
                <w:sz w:val="26"/>
                <w:szCs w:val="26"/>
              </w:rPr>
              <w:t xml:space="preserve"> đến quy trình 1</w:t>
            </w:r>
            <w:r w:rsidR="000F0E7B" w:rsidRPr="000F0E7B">
              <w:rPr>
                <w:rFonts w:ascii="Times New Roman" w:eastAsia="Times New Roman" w:hAnsi="Times New Roman" w:cs="Times New Roman"/>
                <w:b/>
                <w:color w:val="000000" w:themeColor="text1"/>
                <w:sz w:val="26"/>
                <w:szCs w:val="26"/>
              </w:rPr>
              <w:t>81</w:t>
            </w:r>
            <w:r w:rsidRPr="000F0E7B">
              <w:rPr>
                <w:rFonts w:ascii="Times New Roman" w:eastAsia="Times New Roman" w:hAnsi="Times New Roman" w:cs="Times New Roman"/>
                <w:b/>
                <w:color w:val="000000" w:themeColor="text1"/>
                <w:sz w:val="26"/>
                <w:szCs w:val="26"/>
              </w:rPr>
              <w:t xml:space="preserve">  )</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972BBD">
            <w:pPr>
              <w:spacing w:before="40"/>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đăng ký bản công bố sản phẩm nhập khẩu đối với thực phẩm dinh dưỡng y học, thực phẩm dùng cho chế độ ăn đặc biệt, sản phẩm dinh dưỡng dùng cho trẻ đến 36 tháng tuổi.</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972BBD">
            <w:pPr>
              <w:spacing w:before="40"/>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 xml:space="preserve">Thủ tục đăng ký bản công bố sản phẩm sản xuất trong nước đối với thực phẩm </w:t>
            </w:r>
            <w:r w:rsidRPr="000F0E7B">
              <w:rPr>
                <w:rFonts w:ascii="Times New Roman" w:eastAsia="Times New Roman" w:hAnsi="Times New Roman" w:cs="Times New Roman"/>
                <w:color w:val="000000" w:themeColor="text1"/>
                <w:spacing w:val="-6"/>
                <w:sz w:val="26"/>
                <w:szCs w:val="26"/>
              </w:rPr>
              <w:t>dinh dưỡng y học, thực phẩm dùng cho chế độ ăn đặc biệt, sản phẩm dinh dưỡng dùng cho</w:t>
            </w:r>
            <w:r w:rsidRPr="000F0E7B">
              <w:rPr>
                <w:rFonts w:ascii="Times New Roman" w:eastAsia="Times New Roman" w:hAnsi="Times New Roman" w:cs="Times New Roman"/>
                <w:color w:val="000000" w:themeColor="text1"/>
                <w:sz w:val="26"/>
                <w:szCs w:val="26"/>
              </w:rPr>
              <w:t xml:space="preserve"> trẻ đến 36 tháng tuổi.</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972BBD">
            <w:pPr>
              <w:spacing w:before="40"/>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color w:val="000000" w:themeColor="text1"/>
                <w:sz w:val="26"/>
                <w:szCs w:val="26"/>
              </w:rPr>
              <w:t>Thủ tục xác nhận nội dung quảng cáo đối với sản phẩm dinh dưỡng y học, thực phẩm dùng cho chế độ ăn đặc biệt, sản phẩm dinh dưỡng dùng cho trẻ đến 36 tháng tuổi.</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006093">
            <w:pPr>
              <w:spacing w:before="80" w:after="40"/>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bCs/>
                <w:color w:val="000000" w:themeColor="text1"/>
                <w:sz w:val="26"/>
                <w:szCs w:val="26"/>
                <w:lang w:val="vi-VN"/>
              </w:rPr>
              <w:t xml:space="preserve">Thủ tục </w:t>
            </w:r>
            <w:r w:rsidRPr="000F0E7B">
              <w:rPr>
                <w:rFonts w:ascii="Times New Roman" w:eastAsia="Times New Roman" w:hAnsi="Times New Roman" w:cs="Times New Roman"/>
                <w:bCs/>
                <w:color w:val="000000" w:themeColor="text1"/>
                <w:sz w:val="26"/>
                <w:szCs w:val="26"/>
              </w:rPr>
              <w:t>c</w:t>
            </w:r>
            <w:r w:rsidRPr="000F0E7B">
              <w:rPr>
                <w:rFonts w:ascii="Times New Roman" w:eastAsia="Times New Roman" w:hAnsi="Times New Roman" w:cs="Times New Roman"/>
                <w:bCs/>
                <w:color w:val="000000" w:themeColor="text1"/>
                <w:sz w:val="26"/>
                <w:szCs w:val="26"/>
                <w:lang w:val="vi-VN"/>
              </w:rPr>
              <w:t xml:space="preserve">ấp </w:t>
            </w:r>
            <w:r w:rsidRPr="000F0E7B">
              <w:rPr>
                <w:rFonts w:ascii="Times New Roman" w:eastAsia="Times New Roman" w:hAnsi="Times New Roman" w:cs="Times New Roman"/>
                <w:bCs/>
                <w:color w:val="000000" w:themeColor="text1"/>
                <w:sz w:val="26"/>
                <w:szCs w:val="26"/>
              </w:rPr>
              <w:t>G</w:t>
            </w:r>
            <w:r w:rsidRPr="000F0E7B">
              <w:rPr>
                <w:rFonts w:ascii="Times New Roman" w:eastAsia="Times New Roman" w:hAnsi="Times New Roman" w:cs="Times New Roman"/>
                <w:bCs/>
                <w:color w:val="000000" w:themeColor="text1"/>
                <w:sz w:val="26"/>
                <w:szCs w:val="26"/>
                <w:lang w:val="vi-VN"/>
              </w:rPr>
              <w:t>iấy xác nhận kiến thức về an toàn thực phẩm đối với tổ chức</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006093">
            <w:pPr>
              <w:spacing w:before="80" w:after="40"/>
              <w:jc w:val="both"/>
              <w:rPr>
                <w:rFonts w:ascii="Times New Roman" w:eastAsia="Times New Roman" w:hAnsi="Times New Roman" w:cs="Times New Roman"/>
                <w:b/>
                <w:color w:val="000000" w:themeColor="text1"/>
                <w:sz w:val="26"/>
                <w:szCs w:val="26"/>
              </w:rPr>
            </w:pPr>
            <w:r w:rsidRPr="000F0E7B">
              <w:rPr>
                <w:rFonts w:ascii="Times New Roman" w:eastAsia="Times New Roman" w:hAnsi="Times New Roman" w:cs="Times New Roman"/>
                <w:bCs/>
                <w:color w:val="000000" w:themeColor="text1"/>
                <w:sz w:val="26"/>
                <w:szCs w:val="26"/>
                <w:lang w:val="vi-VN"/>
              </w:rPr>
              <w:t xml:space="preserve">Thủ tục </w:t>
            </w:r>
            <w:r w:rsidRPr="000F0E7B">
              <w:rPr>
                <w:rFonts w:ascii="Times New Roman" w:eastAsia="Times New Roman" w:hAnsi="Times New Roman" w:cs="Times New Roman"/>
                <w:bCs/>
                <w:color w:val="000000" w:themeColor="text1"/>
                <w:sz w:val="26"/>
                <w:szCs w:val="26"/>
              </w:rPr>
              <w:t>c</w:t>
            </w:r>
            <w:r w:rsidRPr="000F0E7B">
              <w:rPr>
                <w:rFonts w:ascii="Times New Roman" w:eastAsia="Times New Roman" w:hAnsi="Times New Roman" w:cs="Times New Roman"/>
                <w:bCs/>
                <w:color w:val="000000" w:themeColor="text1"/>
                <w:sz w:val="26"/>
                <w:szCs w:val="26"/>
                <w:lang w:val="vi-VN"/>
              </w:rPr>
              <w:t xml:space="preserve">ấp </w:t>
            </w:r>
            <w:r w:rsidRPr="000F0E7B">
              <w:rPr>
                <w:rFonts w:ascii="Times New Roman" w:eastAsia="Times New Roman" w:hAnsi="Times New Roman" w:cs="Times New Roman"/>
                <w:bCs/>
                <w:color w:val="000000" w:themeColor="text1"/>
                <w:sz w:val="26"/>
                <w:szCs w:val="26"/>
              </w:rPr>
              <w:t>G</w:t>
            </w:r>
            <w:r w:rsidRPr="000F0E7B">
              <w:rPr>
                <w:rFonts w:ascii="Times New Roman" w:eastAsia="Times New Roman" w:hAnsi="Times New Roman" w:cs="Times New Roman"/>
                <w:bCs/>
                <w:color w:val="000000" w:themeColor="text1"/>
                <w:sz w:val="26"/>
                <w:szCs w:val="26"/>
                <w:lang w:val="vi-VN"/>
              </w:rPr>
              <w:t>iấy xác nhận kiến thức về an toàn thực phẩm đối với cá nhân</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006093">
            <w:pPr>
              <w:spacing w:before="80" w:after="60"/>
              <w:jc w:val="both"/>
              <w:rPr>
                <w:rFonts w:ascii="Times New Roman" w:eastAsia="Times New Roman" w:hAnsi="Times New Roman" w:cs="Times New Roman"/>
                <w:color w:val="000000" w:themeColor="text1"/>
                <w:spacing w:val="-10"/>
                <w:sz w:val="26"/>
                <w:szCs w:val="26"/>
              </w:rPr>
            </w:pPr>
            <w:r w:rsidRPr="000F0E7B">
              <w:rPr>
                <w:rFonts w:ascii="Times New Roman" w:eastAsia="Times New Roman" w:hAnsi="Times New Roman" w:cs="Times New Roman"/>
                <w:color w:val="000000" w:themeColor="text1"/>
                <w:sz w:val="26"/>
                <w:szCs w:val="26"/>
              </w:rPr>
              <w:t>Thủ tục cấp Giấy chứng nhận cơ sở đủ điều kiện an toàn thực phẩm đối với các cơ sở nhỏ lẻ sản xuất, kinh doanh thực phẩm chức năng, thực phẩm tăng cường vi chất dinh dưỡng, phụ gia thực phẩm, chất hỗ trợ chế biến thực phẩm; nước khoáng thiên nhiên, nước uống đóng chai; dụng cụ, vật liệu bao gói, chứa đựng thực phẩm thuộc thẩm quyền của Sở Y tế</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006093">
            <w:pPr>
              <w:spacing w:before="80" w:after="60"/>
              <w:ind w:left="-57" w:right="-57"/>
              <w:jc w:val="both"/>
              <w:rPr>
                <w:rFonts w:ascii="Times New Roman" w:eastAsia="Times New Roman" w:hAnsi="Times New Roman" w:cs="Times New Roman"/>
                <w:color w:val="000000" w:themeColor="text1"/>
                <w:spacing w:val="-10"/>
                <w:sz w:val="26"/>
                <w:szCs w:val="26"/>
              </w:rPr>
            </w:pPr>
            <w:r w:rsidRPr="000F0E7B">
              <w:rPr>
                <w:rFonts w:ascii="Times New Roman" w:eastAsia="Times New Roman" w:hAnsi="Times New Roman" w:cs="Times New Roman"/>
                <w:color w:val="000000" w:themeColor="text1"/>
                <w:spacing w:val="2"/>
                <w:sz w:val="26"/>
                <w:szCs w:val="26"/>
              </w:rPr>
              <w:t>Thủ tục đổi Giấy chứng nhận cơ sở đủ điều kiện an toàn thực phẩm đối với các cơ sở nhỏ lẻ sản xuất, kinh doanh thực phẩm chức năng, thực phẩm tăng cường vi chất dinh dưỡng, phụ gia thực phẩm, chất hỗ trợ chế biến thực phẩm; nước khoáng thiên nhiên, nước uống đóng chai; dụng cụ, vật liệu bao gói, chứa đựng thực phẩm thuộc thẩm quyền của Sở Y tế</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006093">
            <w:pPr>
              <w:spacing w:before="60" w:after="40"/>
              <w:jc w:val="both"/>
              <w:rPr>
                <w:rFonts w:ascii="Times New Roman" w:eastAsia="Times New Roman" w:hAnsi="Times New Roman" w:cs="Times New Roman"/>
                <w:color w:val="000000" w:themeColor="text1"/>
                <w:sz w:val="26"/>
                <w:szCs w:val="26"/>
              </w:rPr>
            </w:pPr>
            <w:r w:rsidRPr="000F0E7B">
              <w:rPr>
                <w:rFonts w:ascii="Times New Roman" w:eastAsia="Times New Roman" w:hAnsi="Times New Roman" w:cs="Times New Roman"/>
                <w:bCs/>
                <w:color w:val="000000" w:themeColor="text1"/>
                <w:sz w:val="26"/>
                <w:szCs w:val="26"/>
              </w:rPr>
              <w:t>Thủ tục c</w:t>
            </w:r>
            <w:r w:rsidRPr="000F0E7B">
              <w:rPr>
                <w:rFonts w:ascii="Times New Roman" w:eastAsia="Times New Roman" w:hAnsi="Times New Roman" w:cs="Times New Roman"/>
                <w:bCs/>
                <w:color w:val="000000" w:themeColor="text1"/>
                <w:sz w:val="26"/>
                <w:szCs w:val="26"/>
                <w:lang w:val="vi-VN"/>
              </w:rPr>
              <w:t xml:space="preserve">ấp Giấy chứng nhận cơ sở đủ điều kiện </w:t>
            </w:r>
            <w:r w:rsidRPr="000F0E7B">
              <w:rPr>
                <w:rFonts w:ascii="Times New Roman" w:eastAsia="Times New Roman" w:hAnsi="Times New Roman" w:cs="Times New Roman"/>
                <w:bCs/>
                <w:color w:val="000000" w:themeColor="text1"/>
                <w:sz w:val="26"/>
                <w:szCs w:val="26"/>
              </w:rPr>
              <w:t>a</w:t>
            </w:r>
            <w:r w:rsidRPr="000F0E7B">
              <w:rPr>
                <w:rFonts w:ascii="Times New Roman" w:eastAsia="Times New Roman" w:hAnsi="Times New Roman" w:cs="Times New Roman"/>
                <w:bCs/>
                <w:color w:val="000000" w:themeColor="text1"/>
                <w:sz w:val="26"/>
                <w:szCs w:val="26"/>
                <w:lang w:val="vi-VN"/>
              </w:rPr>
              <w:t>n toàn thực phẩm đối với cơ sở kinh doanh dịch vụ ăn uống</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006093">
            <w:pPr>
              <w:spacing w:before="60" w:after="40"/>
              <w:jc w:val="both"/>
              <w:rPr>
                <w:rFonts w:ascii="Times New Roman" w:eastAsia="Times New Roman" w:hAnsi="Times New Roman" w:cs="Times New Roman"/>
                <w:bCs/>
                <w:color w:val="000000" w:themeColor="text1"/>
                <w:sz w:val="26"/>
                <w:szCs w:val="26"/>
              </w:rPr>
            </w:pPr>
            <w:r w:rsidRPr="000F0E7B">
              <w:rPr>
                <w:rFonts w:ascii="Times New Roman" w:eastAsia="Times New Roman" w:hAnsi="Times New Roman" w:cs="Times New Roman"/>
                <w:bCs/>
                <w:color w:val="000000" w:themeColor="text1"/>
                <w:sz w:val="26"/>
                <w:szCs w:val="26"/>
              </w:rPr>
              <w:t>Thủ tục đ</w:t>
            </w:r>
            <w:r w:rsidRPr="000F0E7B">
              <w:rPr>
                <w:rFonts w:ascii="Times New Roman" w:eastAsia="Times New Roman" w:hAnsi="Times New Roman" w:cs="Times New Roman"/>
                <w:bCs/>
                <w:color w:val="000000" w:themeColor="text1"/>
                <w:sz w:val="26"/>
                <w:szCs w:val="26"/>
                <w:lang w:val="vi-VN"/>
              </w:rPr>
              <w:t xml:space="preserve">ổi Giấy chứng nhận cơ sở đủ điều kiện </w:t>
            </w:r>
            <w:r w:rsidRPr="000F0E7B">
              <w:rPr>
                <w:rFonts w:ascii="Times New Roman" w:eastAsia="Times New Roman" w:hAnsi="Times New Roman" w:cs="Times New Roman"/>
                <w:bCs/>
                <w:color w:val="000000" w:themeColor="text1"/>
                <w:sz w:val="26"/>
                <w:szCs w:val="26"/>
              </w:rPr>
              <w:t>a</w:t>
            </w:r>
            <w:r w:rsidRPr="000F0E7B">
              <w:rPr>
                <w:rFonts w:ascii="Times New Roman" w:eastAsia="Times New Roman" w:hAnsi="Times New Roman" w:cs="Times New Roman"/>
                <w:bCs/>
                <w:color w:val="000000" w:themeColor="text1"/>
                <w:sz w:val="26"/>
                <w:szCs w:val="26"/>
                <w:lang w:val="vi-VN"/>
              </w:rPr>
              <w:t>n toàn thực phẩm đối với cơ sở kinh doanh dịch vụ ăn uống</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006093">
            <w:pPr>
              <w:pStyle w:val="FootnoteText"/>
              <w:ind w:left="720"/>
              <w:jc w:val="both"/>
              <w:rPr>
                <w:color w:val="000000" w:themeColor="text1"/>
                <w:sz w:val="26"/>
                <w:szCs w:val="26"/>
              </w:rPr>
            </w:pPr>
          </w:p>
        </w:tc>
        <w:tc>
          <w:tcPr>
            <w:tcW w:w="12333" w:type="dxa"/>
          </w:tcPr>
          <w:p w:rsidR="00D62577" w:rsidRPr="000F0E7B" w:rsidRDefault="00D62577" w:rsidP="000F0E7B">
            <w:pPr>
              <w:spacing w:before="60" w:after="40"/>
              <w:jc w:val="both"/>
              <w:rPr>
                <w:rFonts w:ascii="Times New Roman" w:hAnsi="Times New Roman" w:cs="Times New Roman"/>
                <w:b/>
                <w:bCs/>
                <w:color w:val="000000" w:themeColor="text1"/>
                <w:sz w:val="26"/>
                <w:szCs w:val="26"/>
              </w:rPr>
            </w:pPr>
            <w:r w:rsidRPr="000F0E7B">
              <w:rPr>
                <w:rFonts w:ascii="Times New Roman" w:hAnsi="Times New Roman" w:cs="Times New Roman"/>
                <w:b/>
                <w:bCs/>
                <w:color w:val="000000" w:themeColor="text1"/>
                <w:sz w:val="26"/>
                <w:szCs w:val="26"/>
              </w:rPr>
              <w:t>Trung tâm Y tế dự phòng tỉnh – 06 quy trình (Từ quy trình 18</w:t>
            </w:r>
            <w:r w:rsidR="000F0E7B" w:rsidRPr="000F0E7B">
              <w:rPr>
                <w:rFonts w:ascii="Times New Roman" w:hAnsi="Times New Roman" w:cs="Times New Roman"/>
                <w:b/>
                <w:bCs/>
                <w:color w:val="000000" w:themeColor="text1"/>
                <w:sz w:val="26"/>
                <w:szCs w:val="26"/>
              </w:rPr>
              <w:t>2</w:t>
            </w:r>
            <w:r w:rsidRPr="000F0E7B">
              <w:rPr>
                <w:rFonts w:ascii="Times New Roman" w:hAnsi="Times New Roman" w:cs="Times New Roman"/>
                <w:b/>
                <w:bCs/>
                <w:color w:val="000000" w:themeColor="text1"/>
                <w:sz w:val="26"/>
                <w:szCs w:val="26"/>
              </w:rPr>
              <w:t xml:space="preserve"> đến quy trình 18</w:t>
            </w:r>
            <w:r w:rsidR="000F0E7B" w:rsidRPr="000F0E7B">
              <w:rPr>
                <w:rFonts w:ascii="Times New Roman" w:hAnsi="Times New Roman" w:cs="Times New Roman"/>
                <w:b/>
                <w:bCs/>
                <w:color w:val="000000" w:themeColor="text1"/>
                <w:sz w:val="26"/>
                <w:szCs w:val="26"/>
              </w:rPr>
              <w:t>7</w:t>
            </w:r>
            <w:r w:rsidRPr="000F0E7B">
              <w:rPr>
                <w:rFonts w:ascii="Times New Roman" w:hAnsi="Times New Roman" w:cs="Times New Roman"/>
                <w:b/>
                <w:bCs/>
                <w:color w:val="000000" w:themeColor="text1"/>
                <w:sz w:val="26"/>
                <w:szCs w:val="26"/>
              </w:rPr>
              <w:t>)</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vAlign w:val="center"/>
          </w:tcPr>
          <w:p w:rsidR="00D62577" w:rsidRPr="000F0E7B" w:rsidRDefault="00D62577" w:rsidP="00972BBD">
            <w:pPr>
              <w:spacing w:before="120"/>
              <w:rPr>
                <w:rFonts w:ascii="Times New Roman" w:eastAsia="Calibri" w:hAnsi="Times New Roman" w:cs="Times New Roman"/>
                <w:color w:val="000000" w:themeColor="text1"/>
                <w:sz w:val="26"/>
                <w:szCs w:val="26"/>
                <w:lang w:val="vi-VN"/>
              </w:rPr>
            </w:pPr>
            <w:r w:rsidRPr="000F0E7B">
              <w:rPr>
                <w:rFonts w:ascii="Times New Roman" w:eastAsia="Calibri" w:hAnsi="Times New Roman" w:cs="Times New Roman"/>
                <w:color w:val="000000" w:themeColor="text1"/>
                <w:sz w:val="26"/>
                <w:szCs w:val="26"/>
                <w:lang w:val="vi-VN"/>
              </w:rPr>
              <w:t>Cấp giấy chứng nhận xử lý y tế</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972BBD">
            <w:pPr>
              <w:spacing w:before="120"/>
              <w:jc w:val="both"/>
              <w:rPr>
                <w:rFonts w:ascii="Times New Roman" w:eastAsia="Calibri" w:hAnsi="Times New Roman" w:cs="Times New Roman"/>
                <w:color w:val="000000" w:themeColor="text1"/>
                <w:sz w:val="26"/>
                <w:szCs w:val="26"/>
                <w:lang w:val="vi-VN"/>
              </w:rPr>
            </w:pPr>
            <w:r w:rsidRPr="000F0E7B">
              <w:rPr>
                <w:rFonts w:ascii="Times New Roman" w:eastAsia="Calibri" w:hAnsi="Times New Roman" w:cs="Times New Roman"/>
                <w:color w:val="000000" w:themeColor="text1"/>
                <w:sz w:val="26"/>
                <w:szCs w:val="26"/>
                <w:lang w:val="vi-VN"/>
              </w:rPr>
              <w:t>Thủ tục cấp giấy chứng nhận miễn xử lý vệ sinh tàu thuyền/ chứng nhận xử lý vệ sinh tàu thuyền</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972BBD">
            <w:pPr>
              <w:spacing w:before="120"/>
              <w:jc w:val="both"/>
              <w:rPr>
                <w:rFonts w:ascii="Times New Roman" w:eastAsia="Calibri" w:hAnsi="Times New Roman" w:cs="Times New Roman"/>
                <w:color w:val="000000" w:themeColor="text1"/>
                <w:sz w:val="26"/>
                <w:szCs w:val="26"/>
                <w:lang w:val="vi-VN"/>
              </w:rPr>
            </w:pPr>
            <w:r w:rsidRPr="000F0E7B">
              <w:rPr>
                <w:rFonts w:ascii="Times New Roman" w:eastAsia="Calibri" w:hAnsi="Times New Roman" w:cs="Times New Roman"/>
                <w:color w:val="000000" w:themeColor="text1"/>
                <w:sz w:val="26"/>
                <w:szCs w:val="26"/>
                <w:lang w:val="vi-VN"/>
              </w:rPr>
              <w:t>Thủ tục cấp giấy chứng nhận Tiêm chủng quốc tế hoặc áp dụng biện pháp dự phòng</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972BBD">
            <w:pPr>
              <w:spacing w:before="120"/>
              <w:jc w:val="both"/>
              <w:rPr>
                <w:rFonts w:ascii="Times New Roman" w:eastAsia="Calibri" w:hAnsi="Times New Roman" w:cs="Times New Roman"/>
                <w:color w:val="000000" w:themeColor="text1"/>
                <w:sz w:val="26"/>
                <w:szCs w:val="26"/>
                <w:lang w:val="vi-VN"/>
              </w:rPr>
            </w:pPr>
            <w:r w:rsidRPr="000F0E7B">
              <w:rPr>
                <w:rFonts w:ascii="Times New Roman" w:eastAsia="Calibri" w:hAnsi="Times New Roman" w:cs="Times New Roman"/>
                <w:color w:val="000000" w:themeColor="text1"/>
                <w:sz w:val="26"/>
                <w:szCs w:val="26"/>
                <w:lang w:val="vi-VN"/>
              </w:rPr>
              <w:t>Thủ tục cấp giấy chứng nhận kiểm dịch y tế mẫu vi sinh y học, sản phẩm sinh học, mô, bộ phận cơ thể người</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972BBD">
            <w:pPr>
              <w:spacing w:before="120"/>
              <w:jc w:val="both"/>
              <w:rPr>
                <w:rFonts w:ascii="Times New Roman" w:eastAsia="Calibri" w:hAnsi="Times New Roman" w:cs="Times New Roman"/>
                <w:color w:val="000000" w:themeColor="text1"/>
                <w:sz w:val="26"/>
                <w:szCs w:val="26"/>
                <w:lang w:val="vi-VN"/>
              </w:rPr>
            </w:pPr>
            <w:r w:rsidRPr="000F0E7B">
              <w:rPr>
                <w:rFonts w:ascii="Times New Roman" w:eastAsia="Calibri" w:hAnsi="Times New Roman" w:cs="Times New Roman"/>
                <w:color w:val="000000" w:themeColor="text1"/>
                <w:sz w:val="26"/>
                <w:szCs w:val="26"/>
                <w:lang w:val="vi-VN"/>
              </w:rPr>
              <w:t>Thủ tục cấp giấy chứng nhận kiểm dịch y tế thi thể, hài cốt, tro cốt</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972BBD">
            <w:pPr>
              <w:spacing w:before="120"/>
              <w:jc w:val="both"/>
              <w:rPr>
                <w:rFonts w:ascii="Times New Roman" w:eastAsia="Calibri" w:hAnsi="Times New Roman" w:cs="Times New Roman"/>
                <w:color w:val="000000" w:themeColor="text1"/>
                <w:sz w:val="26"/>
                <w:szCs w:val="26"/>
                <w:lang w:val="vi-VN"/>
              </w:rPr>
            </w:pPr>
            <w:r w:rsidRPr="000F0E7B">
              <w:rPr>
                <w:rFonts w:ascii="Times New Roman" w:eastAsia="Calibri" w:hAnsi="Times New Roman" w:cs="Times New Roman"/>
                <w:color w:val="000000" w:themeColor="text1"/>
                <w:sz w:val="26"/>
                <w:szCs w:val="26"/>
                <w:lang w:val="vi-VN"/>
              </w:rPr>
              <w:t>Thủ tục cấp giấy chứng nhận kiểm dịch y tế đối với hàng hóa, phương tiện vận tải nhập khẩu, xuất khẩu</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006093">
            <w:pPr>
              <w:pStyle w:val="FootnoteText"/>
              <w:ind w:left="720"/>
              <w:jc w:val="both"/>
              <w:rPr>
                <w:color w:val="000000" w:themeColor="text1"/>
                <w:sz w:val="26"/>
                <w:szCs w:val="26"/>
              </w:rPr>
            </w:pPr>
          </w:p>
        </w:tc>
        <w:tc>
          <w:tcPr>
            <w:tcW w:w="12333" w:type="dxa"/>
          </w:tcPr>
          <w:p w:rsidR="00D62577" w:rsidRPr="000F0E7B" w:rsidRDefault="00D62577" w:rsidP="000F0E7B">
            <w:pPr>
              <w:spacing w:before="120"/>
              <w:jc w:val="both"/>
              <w:rPr>
                <w:rFonts w:ascii="Times New Roman" w:eastAsia="Calibri" w:hAnsi="Times New Roman" w:cs="Times New Roman"/>
                <w:b/>
                <w:color w:val="000000" w:themeColor="text1"/>
                <w:sz w:val="26"/>
                <w:szCs w:val="26"/>
              </w:rPr>
            </w:pPr>
            <w:r w:rsidRPr="000F0E7B">
              <w:rPr>
                <w:rFonts w:ascii="Times New Roman" w:eastAsia="Calibri" w:hAnsi="Times New Roman" w:cs="Times New Roman"/>
                <w:b/>
                <w:color w:val="000000" w:themeColor="text1"/>
                <w:sz w:val="26"/>
                <w:szCs w:val="26"/>
              </w:rPr>
              <w:t>Trung tâm Giám định Y khoa – pháp y – 13 quy trình (Từ quy trình 18</w:t>
            </w:r>
            <w:r w:rsidR="000F0E7B" w:rsidRPr="000F0E7B">
              <w:rPr>
                <w:rFonts w:ascii="Times New Roman" w:eastAsia="Calibri" w:hAnsi="Times New Roman" w:cs="Times New Roman"/>
                <w:b/>
                <w:color w:val="000000" w:themeColor="text1"/>
                <w:sz w:val="26"/>
                <w:szCs w:val="26"/>
              </w:rPr>
              <w:t>8</w:t>
            </w:r>
            <w:r w:rsidRPr="000F0E7B">
              <w:rPr>
                <w:rFonts w:ascii="Times New Roman" w:eastAsia="Calibri" w:hAnsi="Times New Roman" w:cs="Times New Roman"/>
                <w:b/>
                <w:color w:val="000000" w:themeColor="text1"/>
                <w:sz w:val="26"/>
                <w:szCs w:val="26"/>
              </w:rPr>
              <w:t xml:space="preserve"> đến quy trình </w:t>
            </w:r>
            <w:r w:rsidR="000F0E7B" w:rsidRPr="000F0E7B">
              <w:rPr>
                <w:rFonts w:ascii="Times New Roman" w:eastAsia="Calibri" w:hAnsi="Times New Roman" w:cs="Times New Roman"/>
                <w:b/>
                <w:color w:val="000000" w:themeColor="text1"/>
                <w:sz w:val="26"/>
                <w:szCs w:val="26"/>
              </w:rPr>
              <w:t>200</w:t>
            </w:r>
            <w:r w:rsidRPr="000F0E7B">
              <w:rPr>
                <w:rFonts w:ascii="Times New Roman" w:eastAsia="Calibri" w:hAnsi="Times New Roman" w:cs="Times New Roman"/>
                <w:b/>
                <w:color w:val="000000" w:themeColor="text1"/>
                <w:sz w:val="26"/>
                <w:szCs w:val="26"/>
              </w:rPr>
              <w:t>)</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vAlign w:val="center"/>
          </w:tcPr>
          <w:p w:rsidR="00D62577" w:rsidRPr="000F0E7B" w:rsidRDefault="00D62577" w:rsidP="00972BBD">
            <w:pPr>
              <w:jc w:val="both"/>
              <w:rPr>
                <w:rFonts w:ascii="Times New Roman" w:hAnsi="Times New Roman" w:cs="Times New Roman"/>
                <w:color w:val="000000" w:themeColor="text1"/>
                <w:sz w:val="26"/>
                <w:szCs w:val="26"/>
                <w:lang w:val="vi-VN"/>
              </w:rPr>
            </w:pPr>
            <w:r w:rsidRPr="000F0E7B">
              <w:rPr>
                <w:rFonts w:ascii="Times New Roman" w:hAnsi="Times New Roman" w:cs="Times New Roman"/>
                <w:color w:val="000000" w:themeColor="text1"/>
                <w:sz w:val="26"/>
                <w:szCs w:val="26"/>
                <w:lang w:val="vi-VN"/>
              </w:rPr>
              <w:t>Thủ tục giám định mức độ khuyết tật (trường hợp hội đồng xác định mức độ khuyết tật không đưa ra được kết luận về mức độ khuyết tật)</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vAlign w:val="center"/>
          </w:tcPr>
          <w:p w:rsidR="00D62577" w:rsidRPr="000F0E7B" w:rsidRDefault="00D62577" w:rsidP="00972BBD">
            <w:pPr>
              <w:jc w:val="both"/>
              <w:rPr>
                <w:rFonts w:ascii="Times New Roman" w:hAnsi="Times New Roman" w:cs="Times New Roman"/>
                <w:color w:val="000000" w:themeColor="text1"/>
                <w:sz w:val="26"/>
                <w:szCs w:val="26"/>
                <w:lang w:val="vi-VN"/>
              </w:rPr>
            </w:pPr>
            <w:r w:rsidRPr="000F0E7B">
              <w:rPr>
                <w:rFonts w:ascii="Times New Roman" w:hAnsi="Times New Roman" w:cs="Times New Roman"/>
                <w:color w:val="000000" w:themeColor="text1"/>
                <w:sz w:val="26"/>
                <w:szCs w:val="26"/>
                <w:lang w:val="vi-VN"/>
              </w:rPr>
              <w:t>Thủ tục giám định mức độ khuyết tật (trường hợp người khuyết tật hoặc đại diện hợp pháp của người khuyết tật không đồng ý kết luận của hội đồng xác định mức độ khuyết tật)</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vAlign w:val="center"/>
          </w:tcPr>
          <w:p w:rsidR="00D62577" w:rsidRPr="000F0E7B" w:rsidRDefault="00D62577" w:rsidP="00972BBD">
            <w:pPr>
              <w:tabs>
                <w:tab w:val="left" w:pos="-177"/>
              </w:tabs>
              <w:jc w:val="both"/>
              <w:rPr>
                <w:rFonts w:ascii="Times New Roman" w:hAnsi="Times New Roman" w:cs="Times New Roman"/>
                <w:color w:val="000000" w:themeColor="text1"/>
                <w:sz w:val="26"/>
                <w:szCs w:val="26"/>
                <w:lang w:val="vi-VN"/>
              </w:rPr>
            </w:pPr>
            <w:r w:rsidRPr="000F0E7B">
              <w:rPr>
                <w:rFonts w:ascii="Times New Roman" w:hAnsi="Times New Roman" w:cs="Times New Roman"/>
                <w:color w:val="000000" w:themeColor="text1"/>
                <w:sz w:val="26"/>
                <w:szCs w:val="26"/>
                <w:lang w:val="vi-VN"/>
              </w:rPr>
              <w:t xml:space="preserve">Thủ tục giám định xác định mức độ khuyết tật (trường hợp có bằng chứng xác thực về việc xác định mức độ khuyết </w:t>
            </w:r>
            <w:r w:rsidRPr="000F0E7B">
              <w:rPr>
                <w:rFonts w:ascii="Times New Roman" w:hAnsi="Times New Roman" w:cs="Times New Roman"/>
                <w:color w:val="000000" w:themeColor="text1"/>
                <w:sz w:val="26"/>
                <w:szCs w:val="26"/>
                <w:lang w:val="vi-VN"/>
              </w:rPr>
              <w:lastRenderedPageBreak/>
              <w:t>tật của hội đồng xác định mức độ khuyết tật không khách quan, không chính xác)</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vAlign w:val="center"/>
          </w:tcPr>
          <w:p w:rsidR="00D62577" w:rsidRPr="000F0E7B" w:rsidRDefault="00D62577" w:rsidP="00972BBD">
            <w:pPr>
              <w:pStyle w:val="NormalWeb"/>
              <w:shd w:val="clear" w:color="auto" w:fill="FFFFFF"/>
              <w:spacing w:before="0" w:beforeAutospacing="0" w:after="0" w:afterAutospacing="0"/>
              <w:jc w:val="both"/>
              <w:rPr>
                <w:color w:val="000000" w:themeColor="text1"/>
                <w:sz w:val="26"/>
                <w:szCs w:val="26"/>
              </w:rPr>
            </w:pPr>
            <w:r w:rsidRPr="000F0E7B">
              <w:rPr>
                <w:color w:val="000000" w:themeColor="text1"/>
                <w:sz w:val="26"/>
                <w:szCs w:val="26"/>
              </w:rPr>
              <w:t>Thủ tục giám định theo yêu cầu để kết luận tình trạng dị tật hoặc mắc bệnh hiểm nghèo đối với trẻ em để bố mẹ của trẻ được sinh con thứ 3 theo NĐ số 20/2010/NĐ-CP ngày 08/3/2010</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vAlign w:val="center"/>
          </w:tcPr>
          <w:p w:rsidR="00D62577" w:rsidRPr="000F0E7B" w:rsidRDefault="00D62577" w:rsidP="00972BBD">
            <w:pPr>
              <w:jc w:val="both"/>
              <w:rPr>
                <w:rFonts w:ascii="Times New Roman" w:hAnsi="Times New Roman" w:cs="Times New Roman"/>
                <w:color w:val="000000" w:themeColor="text1"/>
                <w:sz w:val="26"/>
                <w:szCs w:val="26"/>
                <w:lang w:val="vi-VN"/>
              </w:rPr>
            </w:pPr>
            <w:r w:rsidRPr="000F0E7B">
              <w:rPr>
                <w:rFonts w:ascii="Times New Roman" w:hAnsi="Times New Roman" w:cs="Times New Roman"/>
                <w:color w:val="000000" w:themeColor="text1"/>
                <w:sz w:val="26"/>
                <w:szCs w:val="26"/>
                <w:lang w:val="vi-VN"/>
              </w:rPr>
              <w:t>Thủ tục giám định khả năng lao động đối với bệnh binh</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vAlign w:val="center"/>
          </w:tcPr>
          <w:p w:rsidR="00D62577" w:rsidRPr="000F0E7B" w:rsidRDefault="00D62577" w:rsidP="00972BBD">
            <w:pPr>
              <w:jc w:val="both"/>
              <w:rPr>
                <w:rFonts w:ascii="Times New Roman" w:hAnsi="Times New Roman" w:cs="Times New Roman"/>
                <w:color w:val="000000" w:themeColor="text1"/>
                <w:sz w:val="26"/>
                <w:szCs w:val="26"/>
                <w:lang w:val="vi-VN"/>
              </w:rPr>
            </w:pPr>
            <w:r w:rsidRPr="000F0E7B">
              <w:rPr>
                <w:rFonts w:ascii="Times New Roman" w:hAnsi="Times New Roman" w:cs="Times New Roman"/>
                <w:color w:val="000000" w:themeColor="text1"/>
                <w:sz w:val="26"/>
                <w:szCs w:val="26"/>
                <w:lang w:val="vi-VN"/>
              </w:rPr>
              <w:t>Thủ tục giám định khả năng lao động lần đầu đối với người lao động đang làm việc</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vAlign w:val="center"/>
          </w:tcPr>
          <w:p w:rsidR="00D62577" w:rsidRPr="000F0E7B" w:rsidRDefault="00D62577" w:rsidP="00972BBD">
            <w:pPr>
              <w:jc w:val="both"/>
              <w:rPr>
                <w:rFonts w:ascii="Times New Roman" w:hAnsi="Times New Roman" w:cs="Times New Roman"/>
                <w:color w:val="000000" w:themeColor="text1"/>
                <w:sz w:val="26"/>
                <w:szCs w:val="26"/>
                <w:lang w:val="vi-VN"/>
              </w:rPr>
            </w:pPr>
            <w:r w:rsidRPr="000F0E7B">
              <w:rPr>
                <w:rFonts w:ascii="Times New Roman" w:hAnsi="Times New Roman" w:cs="Times New Roman"/>
                <w:color w:val="000000" w:themeColor="text1"/>
                <w:sz w:val="26"/>
                <w:szCs w:val="26"/>
                <w:lang w:val="vi-VN"/>
              </w:rPr>
              <w:t>Thủ tục khám sức khỏe khi tuyển dụng, khám sức khỏe định kỳ, khám sức khỏe theo yêu cầu</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vAlign w:val="center"/>
          </w:tcPr>
          <w:p w:rsidR="00D62577" w:rsidRPr="000F0E7B" w:rsidRDefault="00D62577" w:rsidP="00972BBD">
            <w:pPr>
              <w:jc w:val="both"/>
              <w:rPr>
                <w:rFonts w:ascii="Times New Roman" w:hAnsi="Times New Roman" w:cs="Times New Roman"/>
                <w:color w:val="000000" w:themeColor="text1"/>
                <w:sz w:val="26"/>
                <w:szCs w:val="26"/>
                <w:lang w:val="vi-VN"/>
              </w:rPr>
            </w:pPr>
            <w:r w:rsidRPr="000F0E7B">
              <w:rPr>
                <w:rFonts w:ascii="Times New Roman" w:hAnsi="Times New Roman" w:cs="Times New Roman"/>
                <w:color w:val="000000" w:themeColor="text1"/>
                <w:sz w:val="26"/>
                <w:szCs w:val="26"/>
                <w:lang w:val="vi-VN"/>
              </w:rPr>
              <w:t>Thủ tục giám định mức độ khuyết tật hưởng chế độ ưu đãi đối với thân nhân liệt sỹ</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vAlign w:val="center"/>
          </w:tcPr>
          <w:p w:rsidR="00D62577" w:rsidRPr="000F0E7B" w:rsidRDefault="00D62577" w:rsidP="00972BBD">
            <w:pPr>
              <w:jc w:val="both"/>
              <w:rPr>
                <w:rFonts w:ascii="Times New Roman" w:hAnsi="Times New Roman" w:cs="Times New Roman"/>
                <w:color w:val="000000" w:themeColor="text1"/>
                <w:sz w:val="26"/>
                <w:szCs w:val="26"/>
                <w:lang w:val="vi-VN"/>
              </w:rPr>
            </w:pPr>
            <w:hyperlink r:id="rId19" w:history="1">
              <w:r w:rsidRPr="000F0E7B">
                <w:rPr>
                  <w:rFonts w:ascii="Times New Roman" w:hAnsi="Times New Roman" w:cs="Times New Roman"/>
                  <w:color w:val="000000" w:themeColor="text1"/>
                  <w:sz w:val="26"/>
                  <w:szCs w:val="26"/>
                  <w:lang w:val="vi-VN"/>
                </w:rPr>
                <w:t>Giám định pháp y thương tích, hiếp dâm, giám định sức khoẻ hoãn thi hành án phạt tù do bệnh tật</w:t>
              </w:r>
            </w:hyperlink>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972BBD">
            <w:pPr>
              <w:jc w:val="both"/>
              <w:rPr>
                <w:rFonts w:ascii="Times New Roman" w:hAnsi="Times New Roman" w:cs="Times New Roman"/>
                <w:color w:val="000000" w:themeColor="text1"/>
                <w:sz w:val="26"/>
                <w:szCs w:val="26"/>
                <w:lang w:val="vi-VN"/>
              </w:rPr>
            </w:pPr>
            <w:r w:rsidRPr="000F0E7B">
              <w:rPr>
                <w:rFonts w:ascii="Times New Roman" w:hAnsi="Times New Roman" w:cs="Times New Roman"/>
                <w:color w:val="000000" w:themeColor="text1"/>
                <w:sz w:val="26"/>
                <w:szCs w:val="26"/>
                <w:lang w:val="vi-VN"/>
              </w:rPr>
              <w:t>Giám định pháp y tử thi</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972BBD">
            <w:pPr>
              <w:rPr>
                <w:rFonts w:ascii="Times New Roman" w:hAnsi="Times New Roman" w:cs="Times New Roman"/>
                <w:color w:val="000000" w:themeColor="text1"/>
                <w:sz w:val="26"/>
                <w:szCs w:val="26"/>
                <w:lang w:val="vi-VN"/>
              </w:rPr>
            </w:pPr>
            <w:r w:rsidRPr="000F0E7B">
              <w:rPr>
                <w:rFonts w:ascii="Times New Roman" w:hAnsi="Times New Roman" w:cs="Times New Roman"/>
                <w:color w:val="000000" w:themeColor="text1"/>
                <w:sz w:val="26"/>
                <w:szCs w:val="26"/>
                <w:lang w:val="vi-VN"/>
              </w:rPr>
              <w:t>Giám định pháp y trên hồ sơ</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972BBD">
            <w:pPr>
              <w:rPr>
                <w:rFonts w:ascii="Times New Roman" w:hAnsi="Times New Roman" w:cs="Times New Roman"/>
                <w:color w:val="000000" w:themeColor="text1"/>
                <w:sz w:val="26"/>
                <w:szCs w:val="26"/>
                <w:lang w:val="vi-VN"/>
              </w:rPr>
            </w:pPr>
            <w:r w:rsidRPr="000F0E7B">
              <w:rPr>
                <w:rFonts w:ascii="Times New Roman" w:hAnsi="Times New Roman" w:cs="Times New Roman"/>
                <w:color w:val="000000" w:themeColor="text1"/>
                <w:sz w:val="26"/>
                <w:szCs w:val="26"/>
                <w:lang w:val="vi-VN"/>
              </w:rPr>
              <w:t>Giám định pháp y tâm thần</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972BBD">
            <w:pPr>
              <w:rPr>
                <w:rFonts w:ascii="Times New Roman" w:hAnsi="Times New Roman" w:cs="Times New Roman"/>
                <w:color w:val="000000" w:themeColor="text1"/>
                <w:sz w:val="26"/>
                <w:szCs w:val="26"/>
                <w:lang w:val="vi-VN"/>
              </w:rPr>
            </w:pPr>
            <w:r w:rsidRPr="000F0E7B">
              <w:rPr>
                <w:rFonts w:ascii="Times New Roman" w:hAnsi="Times New Roman" w:cs="Times New Roman"/>
                <w:color w:val="000000" w:themeColor="text1"/>
                <w:sz w:val="26"/>
                <w:szCs w:val="26"/>
                <w:lang w:val="vi-VN"/>
              </w:rPr>
              <w:t>Giám định pháp y tử thi khai quật</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rPr>
          <w:trHeight w:val="397"/>
        </w:trPr>
        <w:tc>
          <w:tcPr>
            <w:tcW w:w="1242" w:type="dxa"/>
          </w:tcPr>
          <w:p w:rsidR="00D62577" w:rsidRPr="000F0E7B" w:rsidRDefault="00D62577" w:rsidP="005B6214">
            <w:pPr>
              <w:pStyle w:val="FootnoteText"/>
              <w:ind w:left="720"/>
              <w:jc w:val="both"/>
              <w:rPr>
                <w:color w:val="000000" w:themeColor="text1"/>
                <w:sz w:val="26"/>
                <w:szCs w:val="26"/>
              </w:rPr>
            </w:pPr>
          </w:p>
        </w:tc>
        <w:tc>
          <w:tcPr>
            <w:tcW w:w="12333" w:type="dxa"/>
          </w:tcPr>
          <w:p w:rsidR="00D62577" w:rsidRPr="000F0E7B" w:rsidRDefault="00D62577" w:rsidP="000F0E7B">
            <w:pPr>
              <w:rPr>
                <w:rFonts w:ascii="Times New Roman" w:hAnsi="Times New Roman" w:cs="Times New Roman"/>
                <w:b/>
                <w:color w:val="000000" w:themeColor="text1"/>
                <w:sz w:val="26"/>
                <w:szCs w:val="26"/>
              </w:rPr>
            </w:pPr>
            <w:r w:rsidRPr="000F0E7B">
              <w:rPr>
                <w:rFonts w:ascii="Times New Roman" w:hAnsi="Times New Roman" w:cs="Times New Roman"/>
                <w:b/>
                <w:color w:val="000000" w:themeColor="text1"/>
                <w:sz w:val="26"/>
                <w:szCs w:val="26"/>
              </w:rPr>
              <w:t xml:space="preserve">Trung tâm phòng chống HIV/AIDS – 07 quy trình (Từ quy trình </w:t>
            </w:r>
            <w:r w:rsidR="000F0E7B" w:rsidRPr="000F0E7B">
              <w:rPr>
                <w:rFonts w:ascii="Times New Roman" w:hAnsi="Times New Roman" w:cs="Times New Roman"/>
                <w:b/>
                <w:color w:val="000000" w:themeColor="text1"/>
                <w:sz w:val="26"/>
                <w:szCs w:val="26"/>
              </w:rPr>
              <w:t>201</w:t>
            </w:r>
            <w:r w:rsidRPr="000F0E7B">
              <w:rPr>
                <w:rFonts w:ascii="Times New Roman" w:hAnsi="Times New Roman" w:cs="Times New Roman"/>
                <w:b/>
                <w:color w:val="000000" w:themeColor="text1"/>
                <w:sz w:val="26"/>
                <w:szCs w:val="26"/>
              </w:rPr>
              <w:t xml:space="preserve"> đến quy trình 20</w:t>
            </w:r>
            <w:r w:rsidR="000F0E7B" w:rsidRPr="000F0E7B">
              <w:rPr>
                <w:rFonts w:ascii="Times New Roman" w:hAnsi="Times New Roman" w:cs="Times New Roman"/>
                <w:b/>
                <w:color w:val="000000" w:themeColor="text1"/>
                <w:sz w:val="26"/>
                <w:szCs w:val="26"/>
              </w:rPr>
              <w:t>7</w:t>
            </w:r>
            <w:r w:rsidRPr="000F0E7B">
              <w:rPr>
                <w:rFonts w:ascii="Times New Roman" w:hAnsi="Times New Roman" w:cs="Times New Roman"/>
                <w:b/>
                <w:color w:val="000000" w:themeColor="text1"/>
                <w:sz w:val="26"/>
                <w:szCs w:val="26"/>
              </w:rPr>
              <w:t>)</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972BBD">
            <w:pPr>
              <w:pStyle w:val="NormalWeb"/>
              <w:spacing w:before="40" w:beforeAutospacing="0" w:after="0" w:afterAutospacing="0"/>
              <w:ind w:left="142" w:right="142" w:firstLine="1"/>
              <w:jc w:val="both"/>
              <w:rPr>
                <w:color w:val="000000" w:themeColor="text1"/>
                <w:sz w:val="26"/>
                <w:szCs w:val="26"/>
                <w:lang w:val="vi-VN"/>
              </w:rPr>
            </w:pPr>
            <w:r w:rsidRPr="000F0E7B">
              <w:rPr>
                <w:color w:val="000000" w:themeColor="text1"/>
                <w:sz w:val="26"/>
                <w:szCs w:val="26"/>
              </w:rPr>
              <w:t>Thủ tục đ</w:t>
            </w:r>
            <w:r w:rsidRPr="000F0E7B">
              <w:rPr>
                <w:color w:val="000000" w:themeColor="text1"/>
                <w:sz w:val="26"/>
                <w:szCs w:val="26"/>
                <w:lang w:val="vi-VN"/>
              </w:rPr>
              <w:t>ăng ký tham gia điều trị nghiện các chất dạng thuốc phiện đối với người nghiện chất dạng thuốc phiện đang cư trú tại cộng đồng</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972BBD">
            <w:pPr>
              <w:pStyle w:val="NormalWeb"/>
              <w:spacing w:before="40" w:beforeAutospacing="0" w:after="0" w:afterAutospacing="0"/>
              <w:ind w:left="142" w:right="142" w:firstLine="1"/>
              <w:jc w:val="both"/>
              <w:rPr>
                <w:color w:val="000000" w:themeColor="text1"/>
                <w:spacing w:val="-6"/>
                <w:sz w:val="26"/>
                <w:szCs w:val="26"/>
              </w:rPr>
            </w:pPr>
            <w:r w:rsidRPr="000F0E7B">
              <w:rPr>
                <w:color w:val="000000" w:themeColor="text1"/>
                <w:spacing w:val="-6"/>
                <w:sz w:val="26"/>
                <w:szCs w:val="26"/>
              </w:rPr>
              <w:t>Thủ tục đ</w:t>
            </w:r>
            <w:r w:rsidRPr="000F0E7B">
              <w:rPr>
                <w:color w:val="000000" w:themeColor="text1"/>
                <w:spacing w:val="-6"/>
                <w:sz w:val="26"/>
                <w:szCs w:val="26"/>
                <w:lang w:val="vi-VN"/>
              </w:rPr>
              <w:t>ăng ký tham gia điều trị nghiện các chất dạng thuốc phiện đối với người có tiền sử nghiện chất dạng thuốc phiện trong các cơ sở trại giam, trại tạm giam, cơ sở cai nghiện bắt buộc, cơ sở giáo dục bắt buộc, trường giáo dưỡng</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972BBD">
            <w:pPr>
              <w:pStyle w:val="NormalWeb"/>
              <w:spacing w:before="120" w:beforeAutospacing="0"/>
              <w:ind w:left="142" w:right="142" w:firstLine="1"/>
              <w:jc w:val="both"/>
              <w:rPr>
                <w:color w:val="000000" w:themeColor="text1"/>
                <w:sz w:val="26"/>
                <w:szCs w:val="26"/>
                <w:lang w:val="vi-VN"/>
              </w:rPr>
            </w:pPr>
            <w:r w:rsidRPr="000F0E7B">
              <w:rPr>
                <w:color w:val="000000" w:themeColor="text1"/>
                <w:sz w:val="26"/>
                <w:szCs w:val="26"/>
              </w:rPr>
              <w:t>Thủ tục c</w:t>
            </w:r>
            <w:r w:rsidRPr="000F0E7B">
              <w:rPr>
                <w:color w:val="000000" w:themeColor="text1"/>
                <w:sz w:val="26"/>
                <w:szCs w:val="26"/>
                <w:lang w:val="vi-VN"/>
              </w:rPr>
              <w:t>huyển tiếp điều trị nghiện chất dạng thuốc phiện đối với người nghiện chất dạng thuốc phiện ngoài cộng đồng</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972BBD">
            <w:pPr>
              <w:pStyle w:val="NormalWeb"/>
              <w:spacing w:before="120" w:beforeAutospacing="0"/>
              <w:ind w:left="142" w:right="142" w:firstLine="1"/>
              <w:jc w:val="both"/>
              <w:rPr>
                <w:color w:val="000000" w:themeColor="text1"/>
                <w:sz w:val="26"/>
                <w:szCs w:val="26"/>
                <w:lang w:val="vi-VN"/>
              </w:rPr>
            </w:pPr>
            <w:r w:rsidRPr="000F0E7B">
              <w:rPr>
                <w:color w:val="000000" w:themeColor="text1"/>
                <w:sz w:val="26"/>
                <w:szCs w:val="26"/>
              </w:rPr>
              <w:t>Thủ tục c</w:t>
            </w:r>
            <w:r w:rsidRPr="000F0E7B">
              <w:rPr>
                <w:color w:val="000000" w:themeColor="text1"/>
                <w:sz w:val="26"/>
                <w:szCs w:val="26"/>
                <w:lang w:val="vi-VN"/>
              </w:rPr>
              <w:t>huyển tiếp điều trị nghiện chất dạng thuốc phiện đối với người nghiện chất dạng thuốc phiện giữa các cơ sở quản lý</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972BBD">
            <w:pPr>
              <w:pStyle w:val="NormalWeb"/>
              <w:spacing w:before="120" w:beforeAutospacing="0"/>
              <w:ind w:left="142" w:right="142" w:firstLine="1"/>
              <w:jc w:val="both"/>
              <w:rPr>
                <w:color w:val="000000" w:themeColor="text1"/>
                <w:spacing w:val="-4"/>
                <w:sz w:val="26"/>
                <w:szCs w:val="26"/>
                <w:lang w:val="vi-VN"/>
              </w:rPr>
            </w:pPr>
            <w:r w:rsidRPr="000F0E7B">
              <w:rPr>
                <w:color w:val="000000" w:themeColor="text1"/>
                <w:spacing w:val="-4"/>
                <w:sz w:val="26"/>
                <w:szCs w:val="26"/>
              </w:rPr>
              <w:t>Thủ tục c</w:t>
            </w:r>
            <w:r w:rsidRPr="000F0E7B">
              <w:rPr>
                <w:color w:val="000000" w:themeColor="text1"/>
                <w:spacing w:val="-4"/>
                <w:sz w:val="26"/>
                <w:szCs w:val="26"/>
                <w:lang w:val="vi-VN"/>
              </w:rPr>
              <w:t>huyển tiếp điều trị nghiện chất dạng thuốc phiện cho người nghiện chất dạng thuốc phiện được trở về cộng đồng từ cơ sở quản lý</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972BBD">
            <w:pPr>
              <w:spacing w:line="276" w:lineRule="auto"/>
              <w:rPr>
                <w:rFonts w:ascii="Times New Roman" w:eastAsia="Calibri" w:hAnsi="Times New Roman" w:cs="Times New Roman"/>
                <w:color w:val="000000" w:themeColor="text1"/>
                <w:spacing w:val="-4"/>
                <w:sz w:val="26"/>
                <w:szCs w:val="26"/>
                <w:lang w:val="vi-VN"/>
              </w:rPr>
            </w:pPr>
            <w:r w:rsidRPr="000F0E7B">
              <w:rPr>
                <w:rFonts w:ascii="Times New Roman" w:eastAsia="Calibri" w:hAnsi="Times New Roman" w:cs="Times New Roman"/>
                <w:color w:val="000000" w:themeColor="text1"/>
                <w:spacing w:val="-4"/>
                <w:sz w:val="26"/>
                <w:szCs w:val="26"/>
                <w:lang w:val="vi-VN"/>
              </w:rPr>
              <w:t>Thủ tục cấp Thẻ nhân viên tiếp cận cộng đồng</w:t>
            </w:r>
          </w:p>
        </w:tc>
        <w:tc>
          <w:tcPr>
            <w:tcW w:w="1134" w:type="dxa"/>
          </w:tcPr>
          <w:p w:rsidR="00D62577" w:rsidRPr="000F0E7B" w:rsidRDefault="00D62577" w:rsidP="00D17DDD">
            <w:pPr>
              <w:pStyle w:val="FootnoteText"/>
              <w:jc w:val="both"/>
              <w:rPr>
                <w:color w:val="000000" w:themeColor="text1"/>
                <w:sz w:val="26"/>
                <w:szCs w:val="26"/>
              </w:rPr>
            </w:pPr>
          </w:p>
        </w:tc>
      </w:tr>
      <w:tr w:rsidR="00D62577" w:rsidRPr="000F0E7B" w:rsidTr="005301AC">
        <w:tc>
          <w:tcPr>
            <w:tcW w:w="1242" w:type="dxa"/>
          </w:tcPr>
          <w:p w:rsidR="00D62577" w:rsidRPr="000F0E7B" w:rsidRDefault="00D62577" w:rsidP="00695391">
            <w:pPr>
              <w:pStyle w:val="FootnoteText"/>
              <w:numPr>
                <w:ilvl w:val="0"/>
                <w:numId w:val="2"/>
              </w:numPr>
              <w:jc w:val="both"/>
              <w:rPr>
                <w:color w:val="000000" w:themeColor="text1"/>
                <w:sz w:val="26"/>
                <w:szCs w:val="26"/>
              </w:rPr>
            </w:pPr>
          </w:p>
        </w:tc>
        <w:tc>
          <w:tcPr>
            <w:tcW w:w="12333" w:type="dxa"/>
          </w:tcPr>
          <w:p w:rsidR="00D62577" w:rsidRPr="000F0E7B" w:rsidRDefault="00D62577" w:rsidP="00972BBD">
            <w:pPr>
              <w:spacing w:line="276" w:lineRule="auto"/>
              <w:rPr>
                <w:rFonts w:ascii="Times New Roman" w:eastAsia="Calibri" w:hAnsi="Times New Roman" w:cs="Times New Roman"/>
                <w:color w:val="000000" w:themeColor="text1"/>
                <w:spacing w:val="-4"/>
                <w:sz w:val="26"/>
                <w:szCs w:val="26"/>
                <w:lang w:val="vi-VN"/>
              </w:rPr>
            </w:pPr>
            <w:r w:rsidRPr="000F0E7B">
              <w:rPr>
                <w:rFonts w:ascii="Times New Roman" w:eastAsia="Calibri" w:hAnsi="Times New Roman" w:cs="Times New Roman"/>
                <w:color w:val="000000" w:themeColor="text1"/>
                <w:spacing w:val="-4"/>
                <w:sz w:val="26"/>
                <w:szCs w:val="26"/>
                <w:lang w:val="vi-VN"/>
              </w:rPr>
              <w:t>Thủ tục cấp lại Thẻ nhân viên tiếp cận cộng đồng</w:t>
            </w:r>
          </w:p>
        </w:tc>
        <w:tc>
          <w:tcPr>
            <w:tcW w:w="1134" w:type="dxa"/>
          </w:tcPr>
          <w:p w:rsidR="00D62577" w:rsidRPr="000F0E7B" w:rsidRDefault="00D62577" w:rsidP="00D17DDD">
            <w:pPr>
              <w:pStyle w:val="FootnoteText"/>
              <w:jc w:val="both"/>
              <w:rPr>
                <w:color w:val="000000" w:themeColor="text1"/>
                <w:sz w:val="26"/>
                <w:szCs w:val="26"/>
              </w:rPr>
            </w:pPr>
          </w:p>
        </w:tc>
      </w:tr>
    </w:tbl>
    <w:p w:rsidR="00A16F1C" w:rsidRPr="005301AC" w:rsidRDefault="00A16F1C" w:rsidP="00D17DDD">
      <w:pPr>
        <w:pStyle w:val="FootnoteText"/>
        <w:jc w:val="both"/>
        <w:rPr>
          <w:color w:val="000000" w:themeColor="text1"/>
          <w:sz w:val="26"/>
          <w:szCs w:val="26"/>
        </w:rPr>
      </w:pPr>
      <w:bookmarkStart w:id="0" w:name="_GoBack"/>
      <w:bookmarkEnd w:id="0"/>
    </w:p>
    <w:sectPr w:rsidR="00A16F1C" w:rsidRPr="005301AC" w:rsidSect="007B4577">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1E" w:rsidRDefault="0005691E" w:rsidP="007B4577">
      <w:pPr>
        <w:spacing w:after="0" w:line="240" w:lineRule="auto"/>
      </w:pPr>
      <w:r>
        <w:separator/>
      </w:r>
    </w:p>
  </w:endnote>
  <w:endnote w:type="continuationSeparator" w:id="0">
    <w:p w:rsidR="0005691E" w:rsidRDefault="0005691E" w:rsidP="007B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1E" w:rsidRDefault="0005691E" w:rsidP="007B4577">
      <w:pPr>
        <w:spacing w:after="0" w:line="240" w:lineRule="auto"/>
      </w:pPr>
      <w:r>
        <w:separator/>
      </w:r>
    </w:p>
  </w:footnote>
  <w:footnote w:type="continuationSeparator" w:id="0">
    <w:p w:rsidR="0005691E" w:rsidRDefault="0005691E" w:rsidP="007B4577">
      <w:pPr>
        <w:spacing w:after="0" w:line="240" w:lineRule="auto"/>
      </w:pPr>
      <w:r>
        <w:continuationSeparator/>
      </w:r>
    </w:p>
  </w:footnote>
  <w:footnote w:id="1">
    <w:p w:rsidR="00972BBD" w:rsidRDefault="00972BBD" w:rsidP="007B4577">
      <w:pPr>
        <w:pStyle w:val="FootnoteText"/>
      </w:pPr>
    </w:p>
    <w:p w:rsidR="00972BBD" w:rsidRDefault="00972BBD" w:rsidP="007B457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5A0"/>
    <w:multiLevelType w:val="hybridMultilevel"/>
    <w:tmpl w:val="F0D2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23EE7"/>
    <w:multiLevelType w:val="hybridMultilevel"/>
    <w:tmpl w:val="C58C1C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3C44"/>
    <w:rsid w:val="00006093"/>
    <w:rsid w:val="0005691E"/>
    <w:rsid w:val="000F0E7B"/>
    <w:rsid w:val="000F2239"/>
    <w:rsid w:val="00173024"/>
    <w:rsid w:val="001E3C44"/>
    <w:rsid w:val="002A4463"/>
    <w:rsid w:val="002F3796"/>
    <w:rsid w:val="0033729B"/>
    <w:rsid w:val="004D6FCD"/>
    <w:rsid w:val="005301AC"/>
    <w:rsid w:val="005B6214"/>
    <w:rsid w:val="005D2DD5"/>
    <w:rsid w:val="0065737C"/>
    <w:rsid w:val="00695391"/>
    <w:rsid w:val="007B4577"/>
    <w:rsid w:val="007D1D0A"/>
    <w:rsid w:val="007F7851"/>
    <w:rsid w:val="00832648"/>
    <w:rsid w:val="0086493D"/>
    <w:rsid w:val="008D3EB3"/>
    <w:rsid w:val="00927F6D"/>
    <w:rsid w:val="00972BBD"/>
    <w:rsid w:val="00A16F1C"/>
    <w:rsid w:val="00A22D77"/>
    <w:rsid w:val="00AF6E97"/>
    <w:rsid w:val="00B12698"/>
    <w:rsid w:val="00B23925"/>
    <w:rsid w:val="00B3469F"/>
    <w:rsid w:val="00B76BEC"/>
    <w:rsid w:val="00D17DDD"/>
    <w:rsid w:val="00D62577"/>
    <w:rsid w:val="00E47CA8"/>
    <w:rsid w:val="00F30C40"/>
    <w:rsid w:val="00F6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1"/>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024"/>
    <w:pPr>
      <w:ind w:left="720"/>
      <w:contextualSpacing/>
    </w:pPr>
  </w:style>
  <w:style w:type="character" w:styleId="Hyperlink">
    <w:name w:val="Hyperlink"/>
    <w:basedOn w:val="DefaultParagraphFont"/>
    <w:uiPriority w:val="99"/>
    <w:unhideWhenUsed/>
    <w:rsid w:val="007B4577"/>
    <w:rPr>
      <w:color w:val="0000FF" w:themeColor="hyperlink"/>
      <w:u w:val="single"/>
    </w:rPr>
  </w:style>
  <w:style w:type="paragraph" w:styleId="FootnoteText">
    <w:name w:val="footnote text"/>
    <w:basedOn w:val="Normal"/>
    <w:link w:val="FootnoteTextChar"/>
    <w:semiHidden/>
    <w:rsid w:val="007B457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B4577"/>
    <w:rPr>
      <w:rFonts w:ascii="Times New Roman" w:eastAsia="Times New Roman" w:hAnsi="Times New Roman" w:cs="Times New Roman"/>
      <w:sz w:val="20"/>
      <w:szCs w:val="20"/>
    </w:rPr>
  </w:style>
  <w:style w:type="character" w:styleId="FootnoteReference">
    <w:name w:val="footnote reference"/>
    <w:semiHidden/>
    <w:rsid w:val="007B4577"/>
    <w:rPr>
      <w:vertAlign w:val="superscript"/>
    </w:rPr>
  </w:style>
  <w:style w:type="table" w:styleId="TableGrid">
    <w:name w:val="Table Grid"/>
    <w:basedOn w:val="TableNormal"/>
    <w:uiPriority w:val="59"/>
    <w:rsid w:val="00D17D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AF6E9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DefaultParagraphFont"/>
    <w:rsid w:val="008D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073">
      <w:bodyDiv w:val="1"/>
      <w:marLeft w:val="0"/>
      <w:marRight w:val="0"/>
      <w:marTop w:val="0"/>
      <w:marBottom w:val="0"/>
      <w:divBdr>
        <w:top w:val="none" w:sz="0" w:space="0" w:color="auto"/>
        <w:left w:val="none" w:sz="0" w:space="0" w:color="auto"/>
        <w:bottom w:val="none" w:sz="0" w:space="0" w:color="auto"/>
        <w:right w:val="none" w:sz="0" w:space="0" w:color="auto"/>
      </w:divBdr>
    </w:div>
    <w:div w:id="48921843">
      <w:bodyDiv w:val="1"/>
      <w:marLeft w:val="0"/>
      <w:marRight w:val="0"/>
      <w:marTop w:val="0"/>
      <w:marBottom w:val="0"/>
      <w:divBdr>
        <w:top w:val="none" w:sz="0" w:space="0" w:color="auto"/>
        <w:left w:val="none" w:sz="0" w:space="0" w:color="auto"/>
        <w:bottom w:val="none" w:sz="0" w:space="0" w:color="auto"/>
        <w:right w:val="none" w:sz="0" w:space="0" w:color="auto"/>
      </w:divBdr>
    </w:div>
    <w:div w:id="74323029">
      <w:bodyDiv w:val="1"/>
      <w:marLeft w:val="0"/>
      <w:marRight w:val="0"/>
      <w:marTop w:val="0"/>
      <w:marBottom w:val="0"/>
      <w:divBdr>
        <w:top w:val="none" w:sz="0" w:space="0" w:color="auto"/>
        <w:left w:val="none" w:sz="0" w:space="0" w:color="auto"/>
        <w:bottom w:val="none" w:sz="0" w:space="0" w:color="auto"/>
        <w:right w:val="none" w:sz="0" w:space="0" w:color="auto"/>
      </w:divBdr>
    </w:div>
    <w:div w:id="114912481">
      <w:bodyDiv w:val="1"/>
      <w:marLeft w:val="0"/>
      <w:marRight w:val="0"/>
      <w:marTop w:val="0"/>
      <w:marBottom w:val="0"/>
      <w:divBdr>
        <w:top w:val="none" w:sz="0" w:space="0" w:color="auto"/>
        <w:left w:val="none" w:sz="0" w:space="0" w:color="auto"/>
        <w:bottom w:val="none" w:sz="0" w:space="0" w:color="auto"/>
        <w:right w:val="none" w:sz="0" w:space="0" w:color="auto"/>
      </w:divBdr>
    </w:div>
    <w:div w:id="129791363">
      <w:bodyDiv w:val="1"/>
      <w:marLeft w:val="0"/>
      <w:marRight w:val="0"/>
      <w:marTop w:val="0"/>
      <w:marBottom w:val="0"/>
      <w:divBdr>
        <w:top w:val="none" w:sz="0" w:space="0" w:color="auto"/>
        <w:left w:val="none" w:sz="0" w:space="0" w:color="auto"/>
        <w:bottom w:val="none" w:sz="0" w:space="0" w:color="auto"/>
        <w:right w:val="none" w:sz="0" w:space="0" w:color="auto"/>
      </w:divBdr>
    </w:div>
    <w:div w:id="142503996">
      <w:bodyDiv w:val="1"/>
      <w:marLeft w:val="0"/>
      <w:marRight w:val="0"/>
      <w:marTop w:val="0"/>
      <w:marBottom w:val="0"/>
      <w:divBdr>
        <w:top w:val="none" w:sz="0" w:space="0" w:color="auto"/>
        <w:left w:val="none" w:sz="0" w:space="0" w:color="auto"/>
        <w:bottom w:val="none" w:sz="0" w:space="0" w:color="auto"/>
        <w:right w:val="none" w:sz="0" w:space="0" w:color="auto"/>
      </w:divBdr>
    </w:div>
    <w:div w:id="143813481">
      <w:bodyDiv w:val="1"/>
      <w:marLeft w:val="0"/>
      <w:marRight w:val="0"/>
      <w:marTop w:val="0"/>
      <w:marBottom w:val="0"/>
      <w:divBdr>
        <w:top w:val="none" w:sz="0" w:space="0" w:color="auto"/>
        <w:left w:val="none" w:sz="0" w:space="0" w:color="auto"/>
        <w:bottom w:val="none" w:sz="0" w:space="0" w:color="auto"/>
        <w:right w:val="none" w:sz="0" w:space="0" w:color="auto"/>
      </w:divBdr>
    </w:div>
    <w:div w:id="174537334">
      <w:bodyDiv w:val="1"/>
      <w:marLeft w:val="0"/>
      <w:marRight w:val="0"/>
      <w:marTop w:val="0"/>
      <w:marBottom w:val="0"/>
      <w:divBdr>
        <w:top w:val="none" w:sz="0" w:space="0" w:color="auto"/>
        <w:left w:val="none" w:sz="0" w:space="0" w:color="auto"/>
        <w:bottom w:val="none" w:sz="0" w:space="0" w:color="auto"/>
        <w:right w:val="none" w:sz="0" w:space="0" w:color="auto"/>
      </w:divBdr>
    </w:div>
    <w:div w:id="203754692">
      <w:bodyDiv w:val="1"/>
      <w:marLeft w:val="0"/>
      <w:marRight w:val="0"/>
      <w:marTop w:val="0"/>
      <w:marBottom w:val="0"/>
      <w:divBdr>
        <w:top w:val="none" w:sz="0" w:space="0" w:color="auto"/>
        <w:left w:val="none" w:sz="0" w:space="0" w:color="auto"/>
        <w:bottom w:val="none" w:sz="0" w:space="0" w:color="auto"/>
        <w:right w:val="none" w:sz="0" w:space="0" w:color="auto"/>
      </w:divBdr>
    </w:div>
    <w:div w:id="247354322">
      <w:bodyDiv w:val="1"/>
      <w:marLeft w:val="0"/>
      <w:marRight w:val="0"/>
      <w:marTop w:val="0"/>
      <w:marBottom w:val="0"/>
      <w:divBdr>
        <w:top w:val="none" w:sz="0" w:space="0" w:color="auto"/>
        <w:left w:val="none" w:sz="0" w:space="0" w:color="auto"/>
        <w:bottom w:val="none" w:sz="0" w:space="0" w:color="auto"/>
        <w:right w:val="none" w:sz="0" w:space="0" w:color="auto"/>
      </w:divBdr>
    </w:div>
    <w:div w:id="274555381">
      <w:bodyDiv w:val="1"/>
      <w:marLeft w:val="0"/>
      <w:marRight w:val="0"/>
      <w:marTop w:val="0"/>
      <w:marBottom w:val="0"/>
      <w:divBdr>
        <w:top w:val="none" w:sz="0" w:space="0" w:color="auto"/>
        <w:left w:val="none" w:sz="0" w:space="0" w:color="auto"/>
        <w:bottom w:val="none" w:sz="0" w:space="0" w:color="auto"/>
        <w:right w:val="none" w:sz="0" w:space="0" w:color="auto"/>
      </w:divBdr>
    </w:div>
    <w:div w:id="314990659">
      <w:bodyDiv w:val="1"/>
      <w:marLeft w:val="0"/>
      <w:marRight w:val="0"/>
      <w:marTop w:val="0"/>
      <w:marBottom w:val="0"/>
      <w:divBdr>
        <w:top w:val="none" w:sz="0" w:space="0" w:color="auto"/>
        <w:left w:val="none" w:sz="0" w:space="0" w:color="auto"/>
        <w:bottom w:val="none" w:sz="0" w:space="0" w:color="auto"/>
        <w:right w:val="none" w:sz="0" w:space="0" w:color="auto"/>
      </w:divBdr>
    </w:div>
    <w:div w:id="337922885">
      <w:bodyDiv w:val="1"/>
      <w:marLeft w:val="0"/>
      <w:marRight w:val="0"/>
      <w:marTop w:val="0"/>
      <w:marBottom w:val="0"/>
      <w:divBdr>
        <w:top w:val="none" w:sz="0" w:space="0" w:color="auto"/>
        <w:left w:val="none" w:sz="0" w:space="0" w:color="auto"/>
        <w:bottom w:val="none" w:sz="0" w:space="0" w:color="auto"/>
        <w:right w:val="none" w:sz="0" w:space="0" w:color="auto"/>
      </w:divBdr>
    </w:div>
    <w:div w:id="381755558">
      <w:bodyDiv w:val="1"/>
      <w:marLeft w:val="0"/>
      <w:marRight w:val="0"/>
      <w:marTop w:val="0"/>
      <w:marBottom w:val="0"/>
      <w:divBdr>
        <w:top w:val="none" w:sz="0" w:space="0" w:color="auto"/>
        <w:left w:val="none" w:sz="0" w:space="0" w:color="auto"/>
        <w:bottom w:val="none" w:sz="0" w:space="0" w:color="auto"/>
        <w:right w:val="none" w:sz="0" w:space="0" w:color="auto"/>
      </w:divBdr>
    </w:div>
    <w:div w:id="435248030">
      <w:bodyDiv w:val="1"/>
      <w:marLeft w:val="0"/>
      <w:marRight w:val="0"/>
      <w:marTop w:val="0"/>
      <w:marBottom w:val="0"/>
      <w:divBdr>
        <w:top w:val="none" w:sz="0" w:space="0" w:color="auto"/>
        <w:left w:val="none" w:sz="0" w:space="0" w:color="auto"/>
        <w:bottom w:val="none" w:sz="0" w:space="0" w:color="auto"/>
        <w:right w:val="none" w:sz="0" w:space="0" w:color="auto"/>
      </w:divBdr>
    </w:div>
    <w:div w:id="441653082">
      <w:bodyDiv w:val="1"/>
      <w:marLeft w:val="0"/>
      <w:marRight w:val="0"/>
      <w:marTop w:val="0"/>
      <w:marBottom w:val="0"/>
      <w:divBdr>
        <w:top w:val="none" w:sz="0" w:space="0" w:color="auto"/>
        <w:left w:val="none" w:sz="0" w:space="0" w:color="auto"/>
        <w:bottom w:val="none" w:sz="0" w:space="0" w:color="auto"/>
        <w:right w:val="none" w:sz="0" w:space="0" w:color="auto"/>
      </w:divBdr>
    </w:div>
    <w:div w:id="444345552">
      <w:bodyDiv w:val="1"/>
      <w:marLeft w:val="0"/>
      <w:marRight w:val="0"/>
      <w:marTop w:val="0"/>
      <w:marBottom w:val="0"/>
      <w:divBdr>
        <w:top w:val="none" w:sz="0" w:space="0" w:color="auto"/>
        <w:left w:val="none" w:sz="0" w:space="0" w:color="auto"/>
        <w:bottom w:val="none" w:sz="0" w:space="0" w:color="auto"/>
        <w:right w:val="none" w:sz="0" w:space="0" w:color="auto"/>
      </w:divBdr>
    </w:div>
    <w:div w:id="453788969">
      <w:bodyDiv w:val="1"/>
      <w:marLeft w:val="0"/>
      <w:marRight w:val="0"/>
      <w:marTop w:val="0"/>
      <w:marBottom w:val="0"/>
      <w:divBdr>
        <w:top w:val="none" w:sz="0" w:space="0" w:color="auto"/>
        <w:left w:val="none" w:sz="0" w:space="0" w:color="auto"/>
        <w:bottom w:val="none" w:sz="0" w:space="0" w:color="auto"/>
        <w:right w:val="none" w:sz="0" w:space="0" w:color="auto"/>
      </w:divBdr>
    </w:div>
    <w:div w:id="462037837">
      <w:bodyDiv w:val="1"/>
      <w:marLeft w:val="0"/>
      <w:marRight w:val="0"/>
      <w:marTop w:val="0"/>
      <w:marBottom w:val="0"/>
      <w:divBdr>
        <w:top w:val="none" w:sz="0" w:space="0" w:color="auto"/>
        <w:left w:val="none" w:sz="0" w:space="0" w:color="auto"/>
        <w:bottom w:val="none" w:sz="0" w:space="0" w:color="auto"/>
        <w:right w:val="none" w:sz="0" w:space="0" w:color="auto"/>
      </w:divBdr>
    </w:div>
    <w:div w:id="552154171">
      <w:bodyDiv w:val="1"/>
      <w:marLeft w:val="0"/>
      <w:marRight w:val="0"/>
      <w:marTop w:val="0"/>
      <w:marBottom w:val="0"/>
      <w:divBdr>
        <w:top w:val="none" w:sz="0" w:space="0" w:color="auto"/>
        <w:left w:val="none" w:sz="0" w:space="0" w:color="auto"/>
        <w:bottom w:val="none" w:sz="0" w:space="0" w:color="auto"/>
        <w:right w:val="none" w:sz="0" w:space="0" w:color="auto"/>
      </w:divBdr>
    </w:div>
    <w:div w:id="560678428">
      <w:bodyDiv w:val="1"/>
      <w:marLeft w:val="0"/>
      <w:marRight w:val="0"/>
      <w:marTop w:val="0"/>
      <w:marBottom w:val="0"/>
      <w:divBdr>
        <w:top w:val="none" w:sz="0" w:space="0" w:color="auto"/>
        <w:left w:val="none" w:sz="0" w:space="0" w:color="auto"/>
        <w:bottom w:val="none" w:sz="0" w:space="0" w:color="auto"/>
        <w:right w:val="none" w:sz="0" w:space="0" w:color="auto"/>
      </w:divBdr>
    </w:div>
    <w:div w:id="567228107">
      <w:bodyDiv w:val="1"/>
      <w:marLeft w:val="0"/>
      <w:marRight w:val="0"/>
      <w:marTop w:val="0"/>
      <w:marBottom w:val="0"/>
      <w:divBdr>
        <w:top w:val="none" w:sz="0" w:space="0" w:color="auto"/>
        <w:left w:val="none" w:sz="0" w:space="0" w:color="auto"/>
        <w:bottom w:val="none" w:sz="0" w:space="0" w:color="auto"/>
        <w:right w:val="none" w:sz="0" w:space="0" w:color="auto"/>
      </w:divBdr>
    </w:div>
    <w:div w:id="687488259">
      <w:bodyDiv w:val="1"/>
      <w:marLeft w:val="0"/>
      <w:marRight w:val="0"/>
      <w:marTop w:val="0"/>
      <w:marBottom w:val="0"/>
      <w:divBdr>
        <w:top w:val="none" w:sz="0" w:space="0" w:color="auto"/>
        <w:left w:val="none" w:sz="0" w:space="0" w:color="auto"/>
        <w:bottom w:val="none" w:sz="0" w:space="0" w:color="auto"/>
        <w:right w:val="none" w:sz="0" w:space="0" w:color="auto"/>
      </w:divBdr>
    </w:div>
    <w:div w:id="782189955">
      <w:bodyDiv w:val="1"/>
      <w:marLeft w:val="0"/>
      <w:marRight w:val="0"/>
      <w:marTop w:val="0"/>
      <w:marBottom w:val="0"/>
      <w:divBdr>
        <w:top w:val="none" w:sz="0" w:space="0" w:color="auto"/>
        <w:left w:val="none" w:sz="0" w:space="0" w:color="auto"/>
        <w:bottom w:val="none" w:sz="0" w:space="0" w:color="auto"/>
        <w:right w:val="none" w:sz="0" w:space="0" w:color="auto"/>
      </w:divBdr>
    </w:div>
    <w:div w:id="799998807">
      <w:bodyDiv w:val="1"/>
      <w:marLeft w:val="0"/>
      <w:marRight w:val="0"/>
      <w:marTop w:val="0"/>
      <w:marBottom w:val="0"/>
      <w:divBdr>
        <w:top w:val="none" w:sz="0" w:space="0" w:color="auto"/>
        <w:left w:val="none" w:sz="0" w:space="0" w:color="auto"/>
        <w:bottom w:val="none" w:sz="0" w:space="0" w:color="auto"/>
        <w:right w:val="none" w:sz="0" w:space="0" w:color="auto"/>
      </w:divBdr>
    </w:div>
    <w:div w:id="897546214">
      <w:bodyDiv w:val="1"/>
      <w:marLeft w:val="0"/>
      <w:marRight w:val="0"/>
      <w:marTop w:val="0"/>
      <w:marBottom w:val="0"/>
      <w:divBdr>
        <w:top w:val="none" w:sz="0" w:space="0" w:color="auto"/>
        <w:left w:val="none" w:sz="0" w:space="0" w:color="auto"/>
        <w:bottom w:val="none" w:sz="0" w:space="0" w:color="auto"/>
        <w:right w:val="none" w:sz="0" w:space="0" w:color="auto"/>
      </w:divBdr>
    </w:div>
    <w:div w:id="938102915">
      <w:bodyDiv w:val="1"/>
      <w:marLeft w:val="0"/>
      <w:marRight w:val="0"/>
      <w:marTop w:val="0"/>
      <w:marBottom w:val="0"/>
      <w:divBdr>
        <w:top w:val="none" w:sz="0" w:space="0" w:color="auto"/>
        <w:left w:val="none" w:sz="0" w:space="0" w:color="auto"/>
        <w:bottom w:val="none" w:sz="0" w:space="0" w:color="auto"/>
        <w:right w:val="none" w:sz="0" w:space="0" w:color="auto"/>
      </w:divBdr>
    </w:div>
    <w:div w:id="957954451">
      <w:bodyDiv w:val="1"/>
      <w:marLeft w:val="0"/>
      <w:marRight w:val="0"/>
      <w:marTop w:val="0"/>
      <w:marBottom w:val="0"/>
      <w:divBdr>
        <w:top w:val="none" w:sz="0" w:space="0" w:color="auto"/>
        <w:left w:val="none" w:sz="0" w:space="0" w:color="auto"/>
        <w:bottom w:val="none" w:sz="0" w:space="0" w:color="auto"/>
        <w:right w:val="none" w:sz="0" w:space="0" w:color="auto"/>
      </w:divBdr>
    </w:div>
    <w:div w:id="1058895072">
      <w:bodyDiv w:val="1"/>
      <w:marLeft w:val="0"/>
      <w:marRight w:val="0"/>
      <w:marTop w:val="0"/>
      <w:marBottom w:val="0"/>
      <w:divBdr>
        <w:top w:val="none" w:sz="0" w:space="0" w:color="auto"/>
        <w:left w:val="none" w:sz="0" w:space="0" w:color="auto"/>
        <w:bottom w:val="none" w:sz="0" w:space="0" w:color="auto"/>
        <w:right w:val="none" w:sz="0" w:space="0" w:color="auto"/>
      </w:divBdr>
    </w:div>
    <w:div w:id="1103233684">
      <w:bodyDiv w:val="1"/>
      <w:marLeft w:val="0"/>
      <w:marRight w:val="0"/>
      <w:marTop w:val="0"/>
      <w:marBottom w:val="0"/>
      <w:divBdr>
        <w:top w:val="none" w:sz="0" w:space="0" w:color="auto"/>
        <w:left w:val="none" w:sz="0" w:space="0" w:color="auto"/>
        <w:bottom w:val="none" w:sz="0" w:space="0" w:color="auto"/>
        <w:right w:val="none" w:sz="0" w:space="0" w:color="auto"/>
      </w:divBdr>
    </w:div>
    <w:div w:id="1156148497">
      <w:bodyDiv w:val="1"/>
      <w:marLeft w:val="0"/>
      <w:marRight w:val="0"/>
      <w:marTop w:val="0"/>
      <w:marBottom w:val="0"/>
      <w:divBdr>
        <w:top w:val="none" w:sz="0" w:space="0" w:color="auto"/>
        <w:left w:val="none" w:sz="0" w:space="0" w:color="auto"/>
        <w:bottom w:val="none" w:sz="0" w:space="0" w:color="auto"/>
        <w:right w:val="none" w:sz="0" w:space="0" w:color="auto"/>
      </w:divBdr>
    </w:div>
    <w:div w:id="1196622982">
      <w:bodyDiv w:val="1"/>
      <w:marLeft w:val="0"/>
      <w:marRight w:val="0"/>
      <w:marTop w:val="0"/>
      <w:marBottom w:val="0"/>
      <w:divBdr>
        <w:top w:val="none" w:sz="0" w:space="0" w:color="auto"/>
        <w:left w:val="none" w:sz="0" w:space="0" w:color="auto"/>
        <w:bottom w:val="none" w:sz="0" w:space="0" w:color="auto"/>
        <w:right w:val="none" w:sz="0" w:space="0" w:color="auto"/>
      </w:divBdr>
    </w:div>
    <w:div w:id="1264151712">
      <w:bodyDiv w:val="1"/>
      <w:marLeft w:val="0"/>
      <w:marRight w:val="0"/>
      <w:marTop w:val="0"/>
      <w:marBottom w:val="0"/>
      <w:divBdr>
        <w:top w:val="none" w:sz="0" w:space="0" w:color="auto"/>
        <w:left w:val="none" w:sz="0" w:space="0" w:color="auto"/>
        <w:bottom w:val="none" w:sz="0" w:space="0" w:color="auto"/>
        <w:right w:val="none" w:sz="0" w:space="0" w:color="auto"/>
      </w:divBdr>
    </w:div>
    <w:div w:id="1266693262">
      <w:bodyDiv w:val="1"/>
      <w:marLeft w:val="0"/>
      <w:marRight w:val="0"/>
      <w:marTop w:val="0"/>
      <w:marBottom w:val="0"/>
      <w:divBdr>
        <w:top w:val="none" w:sz="0" w:space="0" w:color="auto"/>
        <w:left w:val="none" w:sz="0" w:space="0" w:color="auto"/>
        <w:bottom w:val="none" w:sz="0" w:space="0" w:color="auto"/>
        <w:right w:val="none" w:sz="0" w:space="0" w:color="auto"/>
      </w:divBdr>
    </w:div>
    <w:div w:id="1279409055">
      <w:bodyDiv w:val="1"/>
      <w:marLeft w:val="0"/>
      <w:marRight w:val="0"/>
      <w:marTop w:val="0"/>
      <w:marBottom w:val="0"/>
      <w:divBdr>
        <w:top w:val="none" w:sz="0" w:space="0" w:color="auto"/>
        <w:left w:val="none" w:sz="0" w:space="0" w:color="auto"/>
        <w:bottom w:val="none" w:sz="0" w:space="0" w:color="auto"/>
        <w:right w:val="none" w:sz="0" w:space="0" w:color="auto"/>
      </w:divBdr>
    </w:div>
    <w:div w:id="1351369023">
      <w:bodyDiv w:val="1"/>
      <w:marLeft w:val="0"/>
      <w:marRight w:val="0"/>
      <w:marTop w:val="0"/>
      <w:marBottom w:val="0"/>
      <w:divBdr>
        <w:top w:val="none" w:sz="0" w:space="0" w:color="auto"/>
        <w:left w:val="none" w:sz="0" w:space="0" w:color="auto"/>
        <w:bottom w:val="none" w:sz="0" w:space="0" w:color="auto"/>
        <w:right w:val="none" w:sz="0" w:space="0" w:color="auto"/>
      </w:divBdr>
    </w:div>
    <w:div w:id="1458989745">
      <w:bodyDiv w:val="1"/>
      <w:marLeft w:val="0"/>
      <w:marRight w:val="0"/>
      <w:marTop w:val="0"/>
      <w:marBottom w:val="0"/>
      <w:divBdr>
        <w:top w:val="none" w:sz="0" w:space="0" w:color="auto"/>
        <w:left w:val="none" w:sz="0" w:space="0" w:color="auto"/>
        <w:bottom w:val="none" w:sz="0" w:space="0" w:color="auto"/>
        <w:right w:val="none" w:sz="0" w:space="0" w:color="auto"/>
      </w:divBdr>
    </w:div>
    <w:div w:id="1604142452">
      <w:bodyDiv w:val="1"/>
      <w:marLeft w:val="0"/>
      <w:marRight w:val="0"/>
      <w:marTop w:val="0"/>
      <w:marBottom w:val="0"/>
      <w:divBdr>
        <w:top w:val="none" w:sz="0" w:space="0" w:color="auto"/>
        <w:left w:val="none" w:sz="0" w:space="0" w:color="auto"/>
        <w:bottom w:val="none" w:sz="0" w:space="0" w:color="auto"/>
        <w:right w:val="none" w:sz="0" w:space="0" w:color="auto"/>
      </w:divBdr>
    </w:div>
    <w:div w:id="1645692385">
      <w:bodyDiv w:val="1"/>
      <w:marLeft w:val="0"/>
      <w:marRight w:val="0"/>
      <w:marTop w:val="0"/>
      <w:marBottom w:val="0"/>
      <w:divBdr>
        <w:top w:val="none" w:sz="0" w:space="0" w:color="auto"/>
        <w:left w:val="none" w:sz="0" w:space="0" w:color="auto"/>
        <w:bottom w:val="none" w:sz="0" w:space="0" w:color="auto"/>
        <w:right w:val="none" w:sz="0" w:space="0" w:color="auto"/>
      </w:divBdr>
    </w:div>
    <w:div w:id="1658849377">
      <w:bodyDiv w:val="1"/>
      <w:marLeft w:val="0"/>
      <w:marRight w:val="0"/>
      <w:marTop w:val="0"/>
      <w:marBottom w:val="0"/>
      <w:divBdr>
        <w:top w:val="none" w:sz="0" w:space="0" w:color="auto"/>
        <w:left w:val="none" w:sz="0" w:space="0" w:color="auto"/>
        <w:bottom w:val="none" w:sz="0" w:space="0" w:color="auto"/>
        <w:right w:val="none" w:sz="0" w:space="0" w:color="auto"/>
      </w:divBdr>
    </w:div>
    <w:div w:id="1684089178">
      <w:bodyDiv w:val="1"/>
      <w:marLeft w:val="0"/>
      <w:marRight w:val="0"/>
      <w:marTop w:val="0"/>
      <w:marBottom w:val="0"/>
      <w:divBdr>
        <w:top w:val="none" w:sz="0" w:space="0" w:color="auto"/>
        <w:left w:val="none" w:sz="0" w:space="0" w:color="auto"/>
        <w:bottom w:val="none" w:sz="0" w:space="0" w:color="auto"/>
        <w:right w:val="none" w:sz="0" w:space="0" w:color="auto"/>
      </w:divBdr>
    </w:div>
    <w:div w:id="1690524867">
      <w:bodyDiv w:val="1"/>
      <w:marLeft w:val="0"/>
      <w:marRight w:val="0"/>
      <w:marTop w:val="0"/>
      <w:marBottom w:val="0"/>
      <w:divBdr>
        <w:top w:val="none" w:sz="0" w:space="0" w:color="auto"/>
        <w:left w:val="none" w:sz="0" w:space="0" w:color="auto"/>
        <w:bottom w:val="none" w:sz="0" w:space="0" w:color="auto"/>
        <w:right w:val="none" w:sz="0" w:space="0" w:color="auto"/>
      </w:divBdr>
    </w:div>
    <w:div w:id="1694113455">
      <w:bodyDiv w:val="1"/>
      <w:marLeft w:val="0"/>
      <w:marRight w:val="0"/>
      <w:marTop w:val="0"/>
      <w:marBottom w:val="0"/>
      <w:divBdr>
        <w:top w:val="none" w:sz="0" w:space="0" w:color="auto"/>
        <w:left w:val="none" w:sz="0" w:space="0" w:color="auto"/>
        <w:bottom w:val="none" w:sz="0" w:space="0" w:color="auto"/>
        <w:right w:val="none" w:sz="0" w:space="0" w:color="auto"/>
      </w:divBdr>
    </w:div>
    <w:div w:id="1714036436">
      <w:bodyDiv w:val="1"/>
      <w:marLeft w:val="0"/>
      <w:marRight w:val="0"/>
      <w:marTop w:val="0"/>
      <w:marBottom w:val="0"/>
      <w:divBdr>
        <w:top w:val="none" w:sz="0" w:space="0" w:color="auto"/>
        <w:left w:val="none" w:sz="0" w:space="0" w:color="auto"/>
        <w:bottom w:val="none" w:sz="0" w:space="0" w:color="auto"/>
        <w:right w:val="none" w:sz="0" w:space="0" w:color="auto"/>
      </w:divBdr>
    </w:div>
    <w:div w:id="1734038553">
      <w:bodyDiv w:val="1"/>
      <w:marLeft w:val="0"/>
      <w:marRight w:val="0"/>
      <w:marTop w:val="0"/>
      <w:marBottom w:val="0"/>
      <w:divBdr>
        <w:top w:val="none" w:sz="0" w:space="0" w:color="auto"/>
        <w:left w:val="none" w:sz="0" w:space="0" w:color="auto"/>
        <w:bottom w:val="none" w:sz="0" w:space="0" w:color="auto"/>
        <w:right w:val="none" w:sz="0" w:space="0" w:color="auto"/>
      </w:divBdr>
    </w:div>
    <w:div w:id="1741059189">
      <w:bodyDiv w:val="1"/>
      <w:marLeft w:val="0"/>
      <w:marRight w:val="0"/>
      <w:marTop w:val="0"/>
      <w:marBottom w:val="0"/>
      <w:divBdr>
        <w:top w:val="none" w:sz="0" w:space="0" w:color="auto"/>
        <w:left w:val="none" w:sz="0" w:space="0" w:color="auto"/>
        <w:bottom w:val="none" w:sz="0" w:space="0" w:color="auto"/>
        <w:right w:val="none" w:sz="0" w:space="0" w:color="auto"/>
      </w:divBdr>
    </w:div>
    <w:div w:id="1774662687">
      <w:bodyDiv w:val="1"/>
      <w:marLeft w:val="0"/>
      <w:marRight w:val="0"/>
      <w:marTop w:val="0"/>
      <w:marBottom w:val="0"/>
      <w:divBdr>
        <w:top w:val="none" w:sz="0" w:space="0" w:color="auto"/>
        <w:left w:val="none" w:sz="0" w:space="0" w:color="auto"/>
        <w:bottom w:val="none" w:sz="0" w:space="0" w:color="auto"/>
        <w:right w:val="none" w:sz="0" w:space="0" w:color="auto"/>
      </w:divBdr>
    </w:div>
    <w:div w:id="1798795022">
      <w:bodyDiv w:val="1"/>
      <w:marLeft w:val="0"/>
      <w:marRight w:val="0"/>
      <w:marTop w:val="0"/>
      <w:marBottom w:val="0"/>
      <w:divBdr>
        <w:top w:val="none" w:sz="0" w:space="0" w:color="auto"/>
        <w:left w:val="none" w:sz="0" w:space="0" w:color="auto"/>
        <w:bottom w:val="none" w:sz="0" w:space="0" w:color="auto"/>
        <w:right w:val="none" w:sz="0" w:space="0" w:color="auto"/>
      </w:divBdr>
    </w:div>
    <w:div w:id="1811315918">
      <w:bodyDiv w:val="1"/>
      <w:marLeft w:val="0"/>
      <w:marRight w:val="0"/>
      <w:marTop w:val="0"/>
      <w:marBottom w:val="0"/>
      <w:divBdr>
        <w:top w:val="none" w:sz="0" w:space="0" w:color="auto"/>
        <w:left w:val="none" w:sz="0" w:space="0" w:color="auto"/>
        <w:bottom w:val="none" w:sz="0" w:space="0" w:color="auto"/>
        <w:right w:val="none" w:sz="0" w:space="0" w:color="auto"/>
      </w:divBdr>
    </w:div>
    <w:div w:id="1990860936">
      <w:bodyDiv w:val="1"/>
      <w:marLeft w:val="0"/>
      <w:marRight w:val="0"/>
      <w:marTop w:val="0"/>
      <w:marBottom w:val="0"/>
      <w:divBdr>
        <w:top w:val="none" w:sz="0" w:space="0" w:color="auto"/>
        <w:left w:val="none" w:sz="0" w:space="0" w:color="auto"/>
        <w:bottom w:val="none" w:sz="0" w:space="0" w:color="auto"/>
        <w:right w:val="none" w:sz="0" w:space="0" w:color="auto"/>
      </w:divBdr>
    </w:div>
    <w:div w:id="2005744604">
      <w:bodyDiv w:val="1"/>
      <w:marLeft w:val="0"/>
      <w:marRight w:val="0"/>
      <w:marTop w:val="0"/>
      <w:marBottom w:val="0"/>
      <w:divBdr>
        <w:top w:val="none" w:sz="0" w:space="0" w:color="auto"/>
        <w:left w:val="none" w:sz="0" w:space="0" w:color="auto"/>
        <w:bottom w:val="none" w:sz="0" w:space="0" w:color="auto"/>
        <w:right w:val="none" w:sz="0" w:space="0" w:color="auto"/>
      </w:divBdr>
    </w:div>
    <w:div w:id="2011060867">
      <w:bodyDiv w:val="1"/>
      <w:marLeft w:val="0"/>
      <w:marRight w:val="0"/>
      <w:marTop w:val="0"/>
      <w:marBottom w:val="0"/>
      <w:divBdr>
        <w:top w:val="none" w:sz="0" w:space="0" w:color="auto"/>
        <w:left w:val="none" w:sz="0" w:space="0" w:color="auto"/>
        <w:bottom w:val="none" w:sz="0" w:space="0" w:color="auto"/>
        <w:right w:val="none" w:sz="0" w:space="0" w:color="auto"/>
      </w:divBdr>
    </w:div>
    <w:div w:id="2100981074">
      <w:bodyDiv w:val="1"/>
      <w:marLeft w:val="0"/>
      <w:marRight w:val="0"/>
      <w:marTop w:val="0"/>
      <w:marBottom w:val="0"/>
      <w:divBdr>
        <w:top w:val="none" w:sz="0" w:space="0" w:color="auto"/>
        <w:left w:val="none" w:sz="0" w:space="0" w:color="auto"/>
        <w:bottom w:val="none" w:sz="0" w:space="0" w:color="auto"/>
        <w:right w:val="none" w:sz="0" w:space="0" w:color="auto"/>
      </w:divBdr>
    </w:div>
    <w:div w:id="21119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ht.syt@quangbinh.gov.vn" TargetMode="External"/><Relationship Id="rId13" Type="http://schemas.openxmlformats.org/officeDocument/2006/relationships/hyperlink" Target="https://syt.quangbinh.gov.vn/3cms/serviceTTHC.htm?&amp;cat=1417599964139&amp;artid=1483089059690" TargetMode="External"/><Relationship Id="rId18" Type="http://schemas.openxmlformats.org/officeDocument/2006/relationships/hyperlink" Target="https://syt.quangbinh.gov.vn/3cms/serviceTTHC.htm?&amp;cat=1417599964139&amp;artid=148308906091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yt.quangbinh.gov.vn/3cms/serviceTTHC.htm?&amp;cat=1417599964139&amp;artid=1437972312701" TargetMode="External"/><Relationship Id="rId17" Type="http://schemas.openxmlformats.org/officeDocument/2006/relationships/hyperlink" Target="https://syt.quangbinh.gov.vn/3cms/serviceTTHC.htm?&amp;cat=1417599964139&amp;artid=1483089060708" TargetMode="External"/><Relationship Id="rId2" Type="http://schemas.openxmlformats.org/officeDocument/2006/relationships/styles" Target="styles.xml"/><Relationship Id="rId16" Type="http://schemas.openxmlformats.org/officeDocument/2006/relationships/hyperlink" Target="https://syt.quangbinh.gov.vn/3cms/serviceTTHC.htm?&amp;cat=1417599964139&amp;artid=148308906064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yt.quangbinh.gov.vn/3cms/serviceTTHC.htm?&amp;cat=1417599964139&amp;artid=1515167116611" TargetMode="External"/><Relationship Id="rId5" Type="http://schemas.openxmlformats.org/officeDocument/2006/relationships/webSettings" Target="webSettings.xml"/><Relationship Id="rId15" Type="http://schemas.openxmlformats.org/officeDocument/2006/relationships/hyperlink" Target="https://syt.quangbinh.gov.vn/3cms/serviceTTHC.htm?&amp;cat=1417599964139&amp;artid=1483089060499" TargetMode="External"/><Relationship Id="rId10" Type="http://schemas.openxmlformats.org/officeDocument/2006/relationships/hyperlink" Target="https://syt.quangbinh.gov.vn/3cms/serviceTTHC.htm?&amp;cat=1417599964139&amp;artid=1515167117396" TargetMode="External"/><Relationship Id="rId19" Type="http://schemas.openxmlformats.org/officeDocument/2006/relationships/hyperlink" Target="https://syt.quangbinh.gov.vn/3cms/serviceTTHC.htm?&amp;cat=1417599964139&amp;artid=1411458457118" TargetMode="External"/><Relationship Id="rId4" Type="http://schemas.openxmlformats.org/officeDocument/2006/relationships/settings" Target="settings.xml"/><Relationship Id="rId9" Type="http://schemas.openxmlformats.org/officeDocument/2006/relationships/hyperlink" Target="https://syt.quangbinh.gov.vn/3cms/serviceTTHC.htm?&amp;cat=1417599964139&amp;artid=1515167117427" TargetMode="External"/><Relationship Id="rId14" Type="http://schemas.openxmlformats.org/officeDocument/2006/relationships/hyperlink" Target="https://syt.quangbinh.gov.vn/3cms/serviceTTHC.htm?&amp;cat=1417599964139&amp;artid=1483089060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17</Pages>
  <Words>4769</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cp:lastModifiedBy>
  <cp:revision>15</cp:revision>
  <cp:lastPrinted>2018-08-28T08:55:00Z</cp:lastPrinted>
  <dcterms:created xsi:type="dcterms:W3CDTF">2018-08-28T03:03:00Z</dcterms:created>
  <dcterms:modified xsi:type="dcterms:W3CDTF">2018-08-29T03:53:00Z</dcterms:modified>
</cp:coreProperties>
</file>